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81b5" w14:textId="74f8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қантардағы № 42/355-VI "2020-2022 жылдарға арналған Жарма ауданы Жарма кентінің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24 маусымдағы № 47/424-VI шешімі. Шығыс Қазақстан облысының Әділет департаментінде 2020 жылғы 2 шілдеде № 7250 болып тіркелді. Күші жойылды - Шығыс Қазақстан облысы Жарма аудандық мәслихатының 2020 жылғы 30 желтоқсандағы № 53/544-VI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53/544-VI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Жарма аудандық мәслихатының 2020 жылғы 13 қаңтардағы № 42/353-VI "2020-2022 жылдарға арналған Жарма ауданы Жарма кентінің бюджеті туралы" (нормативтік құқықтық актілерді мемлекеттік тіркеу Тізілімінде № 6643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2020-2022 жылдарға арналған Жарма ауданы Жарма кентінің бюджеті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24083,0 мың теңге, соның ішінде:</w:t>
      </w:r>
    </w:p>
    <w:p>
      <w:pPr>
        <w:spacing w:after="0"/>
        <w:ind w:left="0"/>
        <w:jc w:val="both"/>
      </w:pPr>
      <w:r>
        <w:rPr>
          <w:rFonts w:ascii="Times New Roman"/>
          <w:b w:val="false"/>
          <w:i w:val="false"/>
          <w:color w:val="000000"/>
          <w:sz w:val="28"/>
        </w:rPr>
        <w:t>
      салықтық түсімдер – 3154,0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20929,0 мың теңге;</w:t>
      </w:r>
    </w:p>
    <w:p>
      <w:pPr>
        <w:spacing w:after="0"/>
        <w:ind w:left="0"/>
        <w:jc w:val="both"/>
      </w:pPr>
      <w:r>
        <w:rPr>
          <w:rFonts w:ascii="Times New Roman"/>
          <w:b w:val="false"/>
          <w:i w:val="false"/>
          <w:color w:val="000000"/>
          <w:sz w:val="28"/>
        </w:rPr>
        <w:t>
      2) шығындар – 24083,0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 -0,0 теңге;</w:t>
      </w:r>
    </w:p>
    <w:p>
      <w:pPr>
        <w:spacing w:after="0"/>
        <w:ind w:left="0"/>
        <w:jc w:val="both"/>
      </w:pPr>
      <w:r>
        <w:rPr>
          <w:rFonts w:ascii="Times New Roman"/>
          <w:b w:val="false"/>
          <w:i w:val="false"/>
          <w:color w:val="000000"/>
          <w:sz w:val="28"/>
        </w:rPr>
        <w:t>
      6) бюджет тапшылығын қаржыландыру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bookmarkStart w:name="z5"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Догалбаев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47/424-VI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42/353-VI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Жарма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