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237e" w14:textId="b812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Құлынжон ауылдық округінің Құлынжон, Көкжыра ауылдарының көшелерінің атауын өзерту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Құлынжон ауылдық округі әкімінің 2020 жылғы 20 мамырдағы № 1 шешімі. Шығыс Қазақстан облысының Әділет департаментінде 2020 жылғы 25 мамырда № 7114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ономастикалық комиссиясының 2019 жылғы 11 желтоқсандағы қорытындысының негізінде, Құлынжон, Көкжыра ауылдары тұрғындарының пікірін ескере отырып, Құлынжон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Құлынжон ауылының көшелерінің атаулары: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Советская көшесі Бауыржан Момышұлы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 көшесі Шәкәрім көшесі болып өзгертілсін.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Көкжыра ауылының көшелерінің атаулары: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Мұхтар Әуезов көшесі;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Школьная көшесі Ыбырай Алтынсарин көшесі болып өзгертілсін.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"Көкпекті ауданының Құлынжон ауылдық округі әкімінің аппараты" мемлекеттік мекемесі Қазақстан Республикасының заңнамасында белгіленген тәртіппен қамтамасыз етеді: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интернет-ресурсында орналастырылуын.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орындалуына бақылау жасау өзіме қалдырамын.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Демесинов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