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221f" w14:textId="1d32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Миролюбовка, Раздольное ауылдарының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Миролюбовка ауылдық округі әкімінің 2020 жылғы 19 қазандағы № 1 шешімі. Шығыс Қазақстан облысының Әділет департаментінде 2020 жылғы 21 қазанда № 7705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11 желтоқсандағы қорытындысының негізінде, Миролюбовка, Раздольное ауылдары тұрғындарының пікірін ескере отырып, Миролюбовка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Миролюбовка ауылының келесі көшесінің атауы: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көшесі Топқайын көшесі болып өзгертілсін.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Раздольное ауылының келесі көшесінің атауы: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Мира көшесі Бейбітшілік көшесі болып өзгертілсін.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Көкпекті ауданының "Миролюбовка ауылдық округі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 – ресурсында орналастырылуы қамтамасыз етілсін.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жасауды өзіме қалдырамын.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