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fdd7" w14:textId="a76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51-8 "2020-2022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58-6 шешімі. Шығыс Қазақстан облысының Әділет департаментінде 2020 жылғы 23 шілдеде № 7400 болып тіркелді. Күші жойылды - Шығыс Қазақстан облысы Тарбағатай аудандық мәслихатының 2020 жылғы 30 желтоқсандағы № 67-8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51-8 "2020-2022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6663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43 753,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Қарасу ауылдық округ бюджетіне аудандық бюджеттен – 8 502,0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