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22da" w14:textId="9292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13 қаңтардағы № 51-14 "2020-2022 жылдарға арналған Тарбағатай ауданы Маңырақ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 қарашадағы № 63-14 шешімі. Шығыс Қазақстан облысының Әділет департаментінде 2020 жылғы 11 қарашада № 7803 болып тіркелді. Күші жойылды - Шығыс Қазақстан облысы Тарбағатай аудандық мәслихатының 2020 жылғы 30 желтоқсандағы № 67-14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67-14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2020 жылғы 22 қазандағы № 62-2 "Тарбағатай аудандық мәслихатының 2019 жылғы 24 желтоқсандағы № 50-2 "2020-2022 жылдарға арналған Тарбағатай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7738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51-14 "2020-2022 жылдарға арналған Тарбағатай ауданы Маңырақ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6670 нөмірімен тіркелген, Қазақстан Республикасы нормативтік құқықтық актілерінің электрондық түрдегі Эталондық бақылау банкінде 2020 жылғы 18 ақпанда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Маңырақ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28 595, 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2 111,0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26 484,0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28 595,0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Маңырақ ауылдық округ бюджетіне аудандық бюджеттен – 6 187,0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Тарбағатай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63-14 шешіміне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Маңырақ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