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6006" w14:textId="5b76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2020 жылғы 2 қазандағы № 208 қаулысы. Батыс Қазақстан облысының Әділет департаментінде 2020 жылғы 6 қазанда № 6411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Ақжайық ауданының әкімдігі ҚАУЛЫ ЕТЕДІ: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елді мекендегі салық салу объектісінің орналасқан жерін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ауданы әкімдігінің 2018 жылғы 28 мамырдағы № 155 "Елді мекендегі салық салу объектісінің орналасқан жерін ескеретін аймаққа бөлу коэффициентін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5223 тіркелген, 2018 жылы 8 маусымда Қазақстан Республикасының нормативтік құқықтық актілерінің эталондық бақылау банкінде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Ақжайық ауданы әкімі аппаратының басшысы (Р.Рахметуллин) осы қаулының әділет органдарында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Ақжайық ауданы әкімінің орынбасары Е.Умитовке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Ақжайық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Қ.Қапан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шілде 2020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Ілбішін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Жантемір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Қосшығыр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Құрайлысай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Әтібек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Шабдаржап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