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109" w14:textId="8cd5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өкей ордасы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0 жылғы 12 қазандағы № 156 қаулысы. Батыс Қазақстан облысының Әділет департаментінде 2020 жылғы 23 қазанда № 64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салық салу объектісінің Бөкей ордасы ауданының елді мекендерінде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кей ордасы ауданы әкімдігінің 2018 жылғы 29 мамырдағы №80 "Бөкей ордасы ауданының елді мекендерінде салық салу объектісінің орналасқан жерін ескеретін аймаққа бөлу коэффиценттерін бекіту туралы" (Нормативтік құқықтық актілерді мемлекеттік тіркеу тізілімінде №5222 тіркелген, 2018 жылғы 7 маусым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өкей ордасы ауданы әкімі аппаратының басшысы осы қаулының әділет органдарында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Б.Меңеш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 жылдың 1 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-жө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кей ордас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Р. 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" тамыз 2020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өкей ордасы ауданының елді мекендерінде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асин атындағ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