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bbce" w14:textId="7b1b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2020 жылғы 29 желтоқсандағы № 234 қаулысы. Батыс Қазақстан облысының Әділет департаментінде 2020 жылғы 29 желтоқсанда № 6729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 Жәнібек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елді мекендегі салық салу объектісінің орналасқан жерін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Жәнібек ауданы әкімдігінің 2018 жылғы 28 мамырдағы №92 "Елді мекендегі салық салу объектісінің орналасқан жерін ескеретін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№5221 тіркелген, 2018 жылы 11 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Жәнібек ауданы әкімі аппаратының басшысы (Н.Серік)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Ж.Абдоловқа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бойынша мемлекеттік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Жәнібек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бойынша мемлекеттік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басқармасының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Т.Г.Гусманов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қараша 2020 ж.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234 қаулысымен 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И.Жұмаев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