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9c34" w14:textId="86f9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2020 жылғы 21 қазандағы № 123 қаулысы. Батыс Қазақстан облысының Әділет департаментінде 2020 жылғы 22 қазанда № 6436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Қаратөбе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салық салу объектісінің елді мекенде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Қаратөбе ауданы әкімдігінің 2018 жылғы 28 мамырдағы № 72 "Қаратөбе ауданының елді мекендерінде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5217 тіркелген, 2018 жылғы 7 маусымда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ауданы әкімі аппаратының басшысы (А.Карменов) осы қаулының әділет органдарында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Ж.Сұлтанға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 әкімінің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Қаратөбе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_________________А.Н.Тажкенов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____________2020 ж.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елді мекенде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елді мекенде орналасуы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Ақтай-сай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ауылдық округі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