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48b4" w14:textId="6c64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6 қаңтардағы № 4 бұйрығы. Қазақстан Республикасының Әділет министрлігінде 2021 жылғы 9 қаңтарда № 22050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 тармағының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3"/>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"KazSat-2R" ғарыштық байланыс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