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e07c" w14:textId="33de0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21 қаңтардағы № 2 бұйрығына өзгеріс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6 қаңтардағы № 1 бұйрығы. Қазақстан Республикасының Әділет министрлігінде 2021 жылғы 9 қаңтарда № 22054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Орман шаруашылығы және жануарлар дүниесі комитеті әзірлеген ведомстволық статистикалық байқаулардың статистикалық нысандары мен оларды толтыру жөніндегі нұсқаулықтарды бекіту" Қазақстан Республикасы Ұлттық экономика министрлігі Статистика комитеті төрағасының 2020 жылғы 21 қаңтардағы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19915 болып тіркелген, Қазақстан Республикасы Нормативтік құқықтық актілерінің эталондық бақылау банкінде 2020 жылғы 29 қаңтарда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сондай-ақ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17-тармағының</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Статистикалық қызметті жоспарлау басқармасы Заң басқармасымен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Статистикалық қызметті жоспарлау басқармасы осы бұйрықты Қазақстан Республикасы Стратегиялық жоспарлау және реформалар агенттігі Ұлттық статистика бюросының құрылымдық бөлімшелеріне және Қазақстан Республикасы Экология, геология және табиғи ресурстар министрлігі Орман шаруашылығы және жануарлар дүниесі комитетіне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Экология, геология және </w:t>
      </w:r>
    </w:p>
    <w:p>
      <w:pPr>
        <w:spacing w:after="0"/>
        <w:ind w:left="0"/>
        <w:jc w:val="both"/>
      </w:pPr>
      <w:r>
        <w:rPr>
          <w:rFonts w:ascii="Times New Roman"/>
          <w:b w:val="false"/>
          <w:i w:val="false"/>
          <w:color w:val="000000"/>
          <w:sz w:val="28"/>
        </w:rPr>
        <w:t>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