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4aa5" w14:textId="a744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21 қаңтардағы № 38 бұйрығы. Қазақстан Республикасының Әділет министрлігінде 2021 жылғы 25 қаңтарда № 22115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Қазақстан Республикасының Нормативтік құқықтық актілердің эталондық бақылау банкінде 2018 жылғы 16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3279"/>
        <w:gridCol w:w="8534"/>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қаулысы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13-жол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1392"/>
        <w:gridCol w:w="8361"/>
      </w:tblGrid>
      <w:tr>
        <w:trPr>
          <w:trHeight w:val="30"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нөмірі 16-жол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4964"/>
        <w:gridCol w:w="3931"/>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20-жол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2482"/>
        <w:gridCol w:w="6264"/>
      </w:tblGrid>
      <w:tr>
        <w:trPr>
          <w:trHeight w:val="30" w:hRule="atLeast"/>
        </w:trPr>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