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8da8" w14:textId="a568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 Қазақстан Республикасы Ұлттық Банкі Басқармасының 2018 жылғы 27 наурыздағы № 47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19 қаулысы. Қазақстан Республикасының Әділет министрлігінде 2021 жылғы 19 ақпанда № 22236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 61-5-бабының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 Қазақстан Республикасы Ұлттық Банкі Басқармасының 2018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16834 болып тіркелген, 2018 жылғы 10 мамырда Қазақстан Республикасы нормативтік құқықтық актілерінің эталондық бақылау банкінде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w:t>
      </w:r>
      <w:r>
        <w:rPr>
          <w:rFonts w:ascii="Times New Roman"/>
          <w:b w:val="false"/>
          <w:i w:val="false"/>
          <w:color w:val="000000"/>
          <w:sz w:val="28"/>
        </w:rPr>
        <w:t>мерзімдерінде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"Банктердің, Қазақстан Республикасының бейрезидент-банктері филиалдарының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Банктердің, Қазақстан Республикасының бейрезидент-банктері филиалдарының (бұдан әрі – банк)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ұсыну қағидалары мен мерзімдері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банктердің ақпараттық қауіпсіздікті басқару жүйелерінің бар-жоғы туралы, сондай-ақ ақпараттық қауіпсіздікті қамтамасыз етуге қойылатын талаптардың сақталуы туралы мәліметтерді Ақпараттық қауіпсіздікті ұлттық үйлестіру орталығына беру тәртібі мен мерзімдерін белгілейді.".</w:t>
      </w:r>
    </w:p>
    <w:bookmarkEnd w:id="6"/>
    <w:bookmarkStart w:name="z12" w:id="7"/>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5" w:id="1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2021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