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aed4" w14:textId="293a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мониторингі субъектілерінің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наурыздағы № 48 қаулысы. Қазақстан Республикасының Әділет министрлігінде 2021 жылғы 19 наурызда № 22365 болып тіркелді</w:t>
      </w:r>
    </w:p>
    <w:p>
      <w:pPr>
        <w:spacing w:after="0"/>
        <w:ind w:left="0"/>
        <w:jc w:val="both"/>
      </w:pPr>
      <w:bookmarkStart w:name="z1" w:id="0"/>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3-2-тармағының</w:t>
      </w:r>
      <w:r>
        <w:rPr>
          <w:rFonts w:ascii="Times New Roman"/>
          <w:b w:val="false"/>
          <w:i w:val="false"/>
          <w:color w:val="000000"/>
          <w:sz w:val="28"/>
        </w:rPr>
        <w:t xml:space="preserve"> екінші абзацына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қаржы мониторингі субъектілерінің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15 наурыздағы</w:t>
            </w:r>
            <w:r>
              <w:br/>
            </w:r>
            <w:r>
              <w:rPr>
                <w:rFonts w:ascii="Times New Roman"/>
                <w:b w:val="false"/>
                <w:i w:val="false"/>
                <w:color w:val="000000"/>
                <w:sz w:val="20"/>
              </w:rPr>
              <w:t xml:space="preserve">№ 48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Республикасының қаржы мониторингі субъектілерінің қызметін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17250 болып тіркелген, 2018 жылғы 10 тамызда Қазақстан Республикасы нормативтік құқықтық актілерінің эталондық бақылау банкінде жарияланған) мынадай өзгеріс енгізілсін: </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Іскерлік қатынастар қашықтықтан орнатылған жағдайда қаржы мониторингі субъектілерінің клиенттерді тиісінше тексеруіне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"7. Клиентті сәйкестендіру және аутентификаттау үшін мынадай тәсілдер қолданылады:</w:t>
      </w:r>
    </w:p>
    <w:bookmarkEnd w:id="11"/>
    <w:p>
      <w:pPr>
        <w:spacing w:after="0"/>
        <w:ind w:left="0"/>
        <w:jc w:val="both"/>
      </w:pPr>
      <w:r>
        <w:rPr>
          <w:rFonts w:ascii="Times New Roman"/>
          <w:b w:val="false"/>
          <w:i w:val="false"/>
          <w:color w:val="000000"/>
          <w:sz w:val="28"/>
        </w:rPr>
        <w:t>
      1) жеке немесе заңды тұлғаның электрондық цифрлық қолтаңбасы;</w:t>
      </w:r>
    </w:p>
    <w:p>
      <w:pPr>
        <w:spacing w:after="0"/>
        <w:ind w:left="0"/>
        <w:jc w:val="both"/>
      </w:pPr>
      <w:r>
        <w:rPr>
          <w:rFonts w:ascii="Times New Roman"/>
          <w:b w:val="false"/>
          <w:i w:val="false"/>
          <w:color w:val="000000"/>
          <w:sz w:val="28"/>
        </w:rPr>
        <w:t>
      2) немесе биометриялық сәйкестендіру құралдары;</w:t>
      </w:r>
    </w:p>
    <w:p>
      <w:pPr>
        <w:spacing w:after="0"/>
        <w:ind w:left="0"/>
        <w:jc w:val="both"/>
      </w:pPr>
      <w:r>
        <w:rPr>
          <w:rFonts w:ascii="Times New Roman"/>
          <w:b w:val="false"/>
          <w:i w:val="false"/>
          <w:color w:val="000000"/>
          <w:sz w:val="28"/>
        </w:rPr>
        <w:t>
      3) немесе егер жеке тұлғаны қаржы мониторингі субъектісі бұған дейін жеке қатыса отырып сәйкестендірген жағдайда, жеке тұлғаны сәйкестендіру және аутентификаттау кезінде қаржы мониторингі субъектісі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карточкалары жүйесінің атауы);</w:t>
      </w:r>
    </w:p>
    <w:p>
      <w:pPr>
        <w:spacing w:after="0"/>
        <w:ind w:left="0"/>
        <w:jc w:val="both"/>
      </w:pPr>
      <w:r>
        <w:rPr>
          <w:rFonts w:ascii="Times New Roman"/>
          <w:b w:val="false"/>
          <w:i w:val="false"/>
          <w:color w:val="000000"/>
          <w:sz w:val="28"/>
        </w:rPr>
        <w:t>
      4) немесе мемлекеттік дерекқорлармен салыстырып тексеру арқылы жеке тұлғаның жеке басын растау;</w:t>
      </w:r>
    </w:p>
    <w:p>
      <w:pPr>
        <w:spacing w:after="0"/>
        <w:ind w:left="0"/>
        <w:jc w:val="both"/>
      </w:pPr>
      <w:r>
        <w:rPr>
          <w:rFonts w:ascii="Times New Roman"/>
          <w:b w:val="false"/>
          <w:i w:val="false"/>
          <w:color w:val="000000"/>
          <w:sz w:val="28"/>
        </w:rPr>
        <w:t>
      5) немесе әріптердің, цифрлардың немесе таңбалардың комбинациясын білдіретін бірегей сәйкестендіруші немесе клиентті сәйкестендіру үшін қаржы мониторингі субъектісі белгілеген және онымен келісілген өзге сәйкестендіруші.</w:t>
      </w:r>
    </w:p>
    <w:p>
      <w:pPr>
        <w:spacing w:after="0"/>
        <w:ind w:left="0"/>
        <w:jc w:val="both"/>
      </w:pPr>
      <w:r>
        <w:rPr>
          <w:rFonts w:ascii="Times New Roman"/>
          <w:b w:val="false"/>
          <w:i w:val="false"/>
          <w:color w:val="000000"/>
          <w:sz w:val="28"/>
        </w:rPr>
        <w:t>
      Осы тармақтың үшінші бөлігінде көзделген жағдайларды қоспағанда, осы тармақтың бірінші бөлігінде айқындалған клиентті сәйкестендіру және аутентификаттау тәсілдерінің біреуін немесе жиынтығында бірнешеуін қолдануға жол беріледі.</w:t>
      </w:r>
    </w:p>
    <w:p>
      <w:pPr>
        <w:spacing w:after="0"/>
        <w:ind w:left="0"/>
        <w:jc w:val="both"/>
      </w:pPr>
      <w:r>
        <w:rPr>
          <w:rFonts w:ascii="Times New Roman"/>
          <w:b w:val="false"/>
          <w:i w:val="false"/>
          <w:color w:val="000000"/>
          <w:sz w:val="28"/>
        </w:rPr>
        <w:t>
      Осы тармақтың бірінші бөлігінің 5) тармақшасында көзделген клиентті сәйкестендіру және аутентификаттау тәсілі мына жағдайлардың бірінде:</w:t>
      </w:r>
    </w:p>
    <w:p>
      <w:pPr>
        <w:spacing w:after="0"/>
        <w:ind w:left="0"/>
        <w:jc w:val="both"/>
      </w:pPr>
      <w:r>
        <w:rPr>
          <w:rFonts w:ascii="Times New Roman"/>
          <w:b w:val="false"/>
          <w:i w:val="false"/>
          <w:color w:val="000000"/>
          <w:sz w:val="28"/>
        </w:rPr>
        <w:t>
      осы тармақтың бірінші бөлігінің 1), 2), 3) және 4) тармақшаларында көзделген клиентті сәйкестендіру және аутентификаттау тәсілдерінің жиынтығында біреуімен немесе бірнешеуімен;</w:t>
      </w:r>
    </w:p>
    <w:p>
      <w:pPr>
        <w:spacing w:after="0"/>
        <w:ind w:left="0"/>
        <w:jc w:val="both"/>
      </w:pPr>
      <w:r>
        <w:rPr>
          <w:rFonts w:ascii="Times New Roman"/>
          <w:b w:val="false"/>
          <w:i w:val="false"/>
          <w:color w:val="000000"/>
          <w:sz w:val="28"/>
        </w:rPr>
        <w:t>
      өмірді сақтандыру шарттарын, аннуитеттік сақтандыру шарттарын және сақтанушының инвестицияларға қатысу талабы көзделетін сақтандыру шарттарын қоспағанда, сақтандыру ұйымдары және Қазақстан Республикасы бейрезидент-сақтандыру (қайта сақтандыру) ұйымдарының филиалдары сақтандыру шарттарын электрондық нысанда жасасқан кезде;</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жөнінде шаралар қабылдаған кезде пайдаланылады. </w:t>
      </w:r>
    </w:p>
    <w:p>
      <w:pPr>
        <w:spacing w:after="0"/>
        <w:ind w:left="0"/>
        <w:jc w:val="both"/>
      </w:pPr>
      <w:r>
        <w:rPr>
          <w:rFonts w:ascii="Times New Roman"/>
          <w:b w:val="false"/>
          <w:i w:val="false"/>
          <w:color w:val="000000"/>
          <w:sz w:val="28"/>
        </w:rPr>
        <w:t>
      Клиентті сәйкестендіру және аутентификаттау тәсілін таңдауды қаржы мониторингі субъектісі жүзеге асырады.".</w:t>
      </w:r>
    </w:p>
    <w:bookmarkStart w:name="z15" w:id="12"/>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2020 жылғы 23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7" w:id="13"/>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бекітілсін.";</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КЖ/ТҚҚ туралы заң) 11-бабы </w:t>
      </w:r>
      <w:r>
        <w:rPr>
          <w:rFonts w:ascii="Times New Roman"/>
          <w:b w:val="false"/>
          <w:i w:val="false"/>
          <w:color w:val="000000"/>
          <w:sz w:val="28"/>
        </w:rPr>
        <w:t>3-2-тармағының</w:t>
      </w:r>
      <w:r>
        <w:rPr>
          <w:rFonts w:ascii="Times New Roman"/>
          <w:b w:val="false"/>
          <w:i w:val="false"/>
          <w:color w:val="000000"/>
          <w:sz w:val="28"/>
        </w:rPr>
        <w:t xml:space="preserve"> екінші абзацына сәйкес әзірленді және екінші деңгейдегі банктерге, Қазақстан Республикасы бейрезидент-банктерінің филиалдары мен Ұлттық пошта операторына (бұдан әрі – банк) қолданылады.";</w:t>
      </w:r>
    </w:p>
    <w:bookmarkEnd w:id="17"/>
    <w:bookmarkStart w:name="z25" w:id="18"/>
    <w:p>
      <w:pPr>
        <w:spacing w:after="0"/>
        <w:ind w:left="0"/>
        <w:jc w:val="both"/>
      </w:pPr>
      <w:r>
        <w:rPr>
          <w:rFonts w:ascii="Times New Roman"/>
          <w:b w:val="false"/>
          <w:i w:val="false"/>
          <w:color w:val="000000"/>
          <w:sz w:val="28"/>
        </w:rPr>
        <w:t xml:space="preserve">
      2. Егер Талаптарда өзгеше көзделмесе, Талаптарда қолданылатын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"Төлемдер және төлем жүйелері туралы" 2016 жылғы 26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мағыналарында пайдаланылады.</w:t>
      </w:r>
    </w:p>
    <w:bookmarkEnd w:id="18"/>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әдеттегіден тыс операция (мәміле) – клиенттің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қаржы мониторингі жөніндегі уәкілетті орган) айқындаған, сондай-ақ банк дербес әзірлеген күдікті операцияларды айқындау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тиіс операциясы (мәмілесі);</w:t>
      </w:r>
    </w:p>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тәуекелдері – банкті қылмыстық жолмен алынған кірістерді заңдастыру (жылыстату) және терроризмді қаржыландыру процестеріне немесе өзге де қылмыстық әрекетке қасақана немесе қасақана емес тарту тәуекелдері;</w:t>
      </w:r>
    </w:p>
    <w:p>
      <w:pPr>
        <w:spacing w:after="0"/>
        <w:ind w:left="0"/>
        <w:jc w:val="both"/>
      </w:pPr>
      <w:r>
        <w:rPr>
          <w:rFonts w:ascii="Times New Roman"/>
          <w:b w:val="false"/>
          <w:i w:val="false"/>
          <w:color w:val="000000"/>
          <w:sz w:val="28"/>
        </w:rPr>
        <w:t>
      қылмыстық жолмен алынған кірістерді заңдастыруды (жылыстатуды) және терроризмді қаржыландыруды басқару – банк қылмыстық жолмен алынған кірістерді заңдастыру (жылыстату) және терроризмді қаржыландыру (бұдан әрі – КЖ/ТҚ) тәуекелдерін анықтау, бағалау, мониторингтеу, сондай-ақ оларды барынша азайту (көрсетілетін қызметтерге (өнімдерге), клиенттерге, сондай-ақ клиенттер жасайтын операцияларға қатысты) бойынша қабылдайтын шаралар жиынтығы;</w:t>
      </w:r>
    </w:p>
    <w:p>
      <w:pPr>
        <w:spacing w:after="0"/>
        <w:ind w:left="0"/>
        <w:jc w:val="both"/>
      </w:pPr>
      <w:r>
        <w:rPr>
          <w:rFonts w:ascii="Times New Roman"/>
          <w:b w:val="false"/>
          <w:i w:val="false"/>
          <w:color w:val="000000"/>
          <w:sz w:val="28"/>
        </w:rPr>
        <w:t xml:space="preserve">
      шекті операция – клиенттің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ақшамен және (немесе) өзге де мүлікпен жасалатын операциясы;</w:t>
      </w:r>
    </w:p>
    <w:p>
      <w:pPr>
        <w:spacing w:after="0"/>
        <w:ind w:left="0"/>
        <w:jc w:val="both"/>
      </w:pPr>
      <w:r>
        <w:rPr>
          <w:rFonts w:ascii="Times New Roman"/>
          <w:b w:val="false"/>
          <w:i w:val="false"/>
          <w:color w:val="000000"/>
          <w:sz w:val="28"/>
        </w:rPr>
        <w:t>
      іскерлік қатынастар – банктің клиентке қаржылық қызметке және қаржы қызметтеріне жататын көрсетілетін қызметтерді (өнімдерді) ұсынуы бойынша қатынастар.".</w:t>
      </w:r>
    </w:p>
    <w:bookmarkStart w:name="z26" w:id="19"/>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және сақтандыру брокерлері үшін ішкі бақылау қағидаларына қойылатын талаптарды бекіту туралы" Қазақстан Республикасы Қаржы нарығын реттеу және дамыту агенттігі Басқармасының 2020 жылғы 12 қазандағы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21425 болып тіркелген, 2020 жылғы 15 қазанда Қазақстан Республикасы Нормативтік құқықтық актілерінің эталондық бақылау банкінде жарияланған) мынадай өзгерістер енгізілсін: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 бекітілсін.";</w:t>
      </w:r>
    </w:p>
    <w:bookmarkEnd w:id="21"/>
    <w:bookmarkStart w:name="z31" w:id="22"/>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және сақтандыру брокерлері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КЖ/ТҚҚ туралы заң) 11-бабы </w:t>
      </w:r>
      <w:r>
        <w:rPr>
          <w:rFonts w:ascii="Times New Roman"/>
          <w:b w:val="false"/>
          <w:i w:val="false"/>
          <w:color w:val="000000"/>
          <w:sz w:val="28"/>
        </w:rPr>
        <w:t>3-2-тармағының</w:t>
      </w:r>
      <w:r>
        <w:rPr>
          <w:rFonts w:ascii="Times New Roman"/>
          <w:b w:val="false"/>
          <w:i w:val="false"/>
          <w:color w:val="000000"/>
          <w:sz w:val="28"/>
        </w:rPr>
        <w:t xml:space="preserve"> екінші абзацына сәйкес әзірленді және сақтандыру (қайта сақтандыру) ұйымдарына, өзара сақтандыру қоғамдарына және Қазақстан Республикасы бейрезидент-сақтандыру (қайта сақтандыру) ұйымдарының филиалдарына (бұдан әрі – ұйым), сақтандыру брокерлеріне және Қазақстан Республикасы бейрезидент-сақтандыру брокерлерінің филиалдарына (бұдан әрі – сақтандыру брокері) қолданылады.";</w:t>
      </w:r>
    </w:p>
    <w:bookmarkEnd w:id="24"/>
    <w:bookmarkStart w:name="z36" w:id="25"/>
    <w:p>
      <w:pPr>
        <w:spacing w:after="0"/>
        <w:ind w:left="0"/>
        <w:jc w:val="both"/>
      </w:pPr>
      <w:r>
        <w:rPr>
          <w:rFonts w:ascii="Times New Roman"/>
          <w:b w:val="false"/>
          <w:i w:val="false"/>
          <w:color w:val="000000"/>
          <w:sz w:val="28"/>
        </w:rPr>
        <w:t xml:space="preserve">
      2. Талаптарда пайдаланылатын ұғымдар "Сақтандыру қызметі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Сақтандыру қызметі туралы заң) және КЖ/ТҚҚ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25"/>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бойынша өзге де шараларды қабылдайтын уәкілетті орган (бұдан әрі – уәкілетті орган) айқындаған, сондай-ақ ұйым және сақтандыру брокері дербес әзірлеген күдікті операцияны айқындау белгілерін ескере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жататын клиенттің операциясы (мәмілесі);</w:t>
      </w:r>
    </w:p>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тәуекелдері (бұдан әрі – КЖ/ТҚ тәуекелдері) – ұйымды және (немесе) сақтандыру брокерін қылмыстық жолмен алынған кірістерді заңдастыру (жылыстату) және терроризмді қаржыландыру (бұдан әрі – КЖ/ТҚ) процестеріне қасақана немесе қасақана емес тарту мүмкіндігі;</w:t>
      </w:r>
    </w:p>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тәуекелдерін басқару (бұдан әрі – КЖ/ТҚ тәуекелдерін басқару) – ұйым және (немесе) сақтандыру брокері КЖ/ТҚ тәуекелдерін анықтау, бағалау, мониторингтеу, сондай-ақ оларды барынша азайту (өнімдерге/көрсетілетін қызметтерге, клиенттерге, сондай-ақ клиенттер жасайтын операцияларға қатысты) бойынша қабылдайтын шаралар жиынтығы;</w:t>
      </w:r>
    </w:p>
    <w:p>
      <w:pPr>
        <w:spacing w:after="0"/>
        <w:ind w:left="0"/>
        <w:jc w:val="both"/>
      </w:pPr>
      <w:r>
        <w:rPr>
          <w:rFonts w:ascii="Times New Roman"/>
          <w:b w:val="false"/>
          <w:i w:val="false"/>
          <w:color w:val="000000"/>
          <w:sz w:val="28"/>
        </w:rPr>
        <w:t xml:space="preserve">
      4) шекті операция – клиенттің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ақшамен және (немесе) өзге де мүлікпен жасалатын операциясы;</w:t>
      </w:r>
    </w:p>
    <w:p>
      <w:pPr>
        <w:spacing w:after="0"/>
        <w:ind w:left="0"/>
        <w:jc w:val="both"/>
      </w:pPr>
      <w:r>
        <w:rPr>
          <w:rFonts w:ascii="Times New Roman"/>
          <w:b w:val="false"/>
          <w:i w:val="false"/>
          <w:color w:val="000000"/>
          <w:sz w:val="28"/>
        </w:rPr>
        <w:t>
      5) іскерлік қатынастар – ұйымның және (немесе) сақтандыру брокерінің клиентке ұйымның сақтандыру қызметіне және (немесе) сақтандыру брокерінің брокерлік қызметіне қатысты қызмет көрсетуі (өнім беруі) бойынша қатынастар.".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