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7a5b" w14:textId="50f7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өзгерістер енгізутуралы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31 наурыздағы № 243-НҚ бұйрығы. Қазақстан Республикасының Әділет министрлігінде 2021 жылғы 1 сәуірде № 22469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(нормативтік құқықтық актілерді мемлекеттік тіркеу тізілімінде № 11074 болып тіркелген, "Әділет" ақпараттық-құқықтық жүйесінде 2015 жылғы 12 маусымда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 экспорты мен импортын лицензиялау жөніндегі қызметке қойылатын біліктілік талаптары және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19, 20, 21, 22 және 23-жолдар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3186"/>
        <w:gridCol w:w="7782"/>
        <w:gridCol w:w="166"/>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талаптардың сақталуы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оның ішінде пайдаланылған өнімнің ыдыстарын кәдеге жаратуға, сақтауға және көмуге кәсіпорынмен жасалған шарттың көшірмесі және тауарды одан әрі тұтынушыларға сату үшін келісімшарттарда (шарттарда) пайдаланылған өнімнің ыдысын міндетті түрде қайтару көзделуі қажет</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Келісімшарттарда (шарттарда) экспорттаушыға ақаулы өсімдіктерді қорғау құралдарын қайтару тәртібін көздейтін тармақтың болуы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Экспорттаушыға ақаулы өсімдіктерді қорғау құралдарын қайтару тәртібін көздейтін келісімшарттың (шарттың) көшірмесі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болуы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көшірмесі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Мiндетті экологиялық сақтандыруды растау</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шартының көшірмесі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келетін сақтауға арналған қоймалардың болуы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қоймалардың мемлекеттік экологиялық сараптама қорытындысының көшірмесі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"Азаматтық және қызметтік қару мен оның патрондарын экспорттау (импорттау) кезінде*****" деген сөздер алып тасталсын;</w:t>
      </w:r>
    </w:p>
    <w:bookmarkEnd w:id="4"/>
    <w:bookmarkStart w:name="z6" w:id="5"/>
    <w:p>
      <w:pPr>
        <w:spacing w:after="0"/>
        <w:ind w:left="0"/>
        <w:jc w:val="both"/>
      </w:pPr>
      <w:r>
        <w:rPr>
          <w:rFonts w:ascii="Times New Roman"/>
          <w:b w:val="false"/>
          <w:i w:val="false"/>
          <w:color w:val="000000"/>
          <w:sz w:val="28"/>
        </w:rPr>
        <w:t>
      реттік нөмірлері 67, 68, 69, 70 және 71-жолдар алып тасталсын;</w:t>
      </w:r>
    </w:p>
    <w:bookmarkEnd w:id="5"/>
    <w:p>
      <w:pPr>
        <w:spacing w:after="0"/>
        <w:ind w:left="0"/>
        <w:jc w:val="both"/>
      </w:pPr>
      <w:r>
        <w:rPr>
          <w:rFonts w:ascii="Times New Roman"/>
          <w:b w:val="false"/>
          <w:i w:val="false"/>
          <w:color w:val="000000"/>
          <w:sz w:val="28"/>
        </w:rPr>
        <w:t>
      "***** қару мен оның патрондарын импорттау кезінде түпкілікті тұтынушылар Қарулы күштер, басқа әскерлер мен әскери құрамалар, арнайы және құқық қорғау органдары болып табылған жағдайда, импортқа арналған лицензияны рәсімдеу Қазақстан Республикасы Үкіметінің 2008 жылғы 5 ақпандағы № 104 "Экспорттық бақылауға жататын өнімнің номенклатурасын (тізімін) бекіту туралы" қаулысымен бекітілген "Әскери қолданылатын (мақсаттағы) тауарлар мен технологиялар" бөлімі ескеріле отырып, әскери мақсаттағы өнім ретінде жүзеге асырылады." деген ескертпе алып тасталсын.</w:t>
      </w:r>
    </w:p>
    <w:bookmarkStart w:name="z7" w:id="6"/>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Сауда және интеграция вице-министріне жүктелсін. </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