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b81a7" w14:textId="e9b81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атқарушы органдардың, мемлекеттік кәсіпорындардың, мемлекеттік мекемелердің тұрғын үй комиссиялары туралы үлгі ережені бекіту туралы" Қазақстан Республикасы Құрылыс және тұрғын үй-коммуналдық шаруашылық істері агенттігі төрағасының 2012 жылғы 7 маусымдағы № 237 және "Кепілдік беру туралы шарттың үлгілік нысанын бекіту туралы" Қазақстан Республикасы Ұлттық экономика министрінің 2016 жылғы 28 шілдедегі № 343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2021 жылғы 31 наурыздағы № 146 бұйрығы. Қазақстан Республикасының Әділет министрлігінде 2021 жылғы 5 сәуірде № 22489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Өнеркәсіп және құрылыс министрінің м.а. 05.02.2024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 w:id="1"/>
    <w:p>
      <w:pPr>
        <w:spacing w:after="0"/>
        <w:ind w:left="0"/>
        <w:jc w:val="both"/>
      </w:pPr>
      <w:r>
        <w:rPr>
          <w:rFonts w:ascii="Times New Roman"/>
          <w:b w:val="false"/>
          <w:i w:val="false"/>
          <w:color w:val="000000"/>
          <w:sz w:val="28"/>
        </w:rPr>
        <w:t xml:space="preserve">
      2. "Кепілдік беру туралы шарттың үлгілік нысанын бекіту туралы" Қазақстан Республикасы Ұлттық экономика министрінің 2016 жылғы 28 шілдедегі № 343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14179 болып тіркелген, 2016 жылғы 28 қыркүйекте "Әділет" ақпараттық-құқықтық жүйесінде жарияланған) мынадай өзгеріс енгізілсін:</w:t>
      </w:r>
    </w:p>
    <w:bookmarkEnd w:id="1"/>
    <w:bookmarkStart w:name="z8" w:id="2"/>
    <w:p>
      <w:pPr>
        <w:spacing w:after="0"/>
        <w:ind w:left="0"/>
        <w:jc w:val="both"/>
      </w:pPr>
      <w:r>
        <w:rPr>
          <w:rFonts w:ascii="Times New Roman"/>
          <w:b w:val="false"/>
          <w:i w:val="false"/>
          <w:color w:val="000000"/>
          <w:sz w:val="28"/>
        </w:rPr>
        <w:t xml:space="preserve">
      көрсетілген бұйрықпен бекітілген Кепілдік беру туралы шарттың үлгілік </w:t>
      </w:r>
      <w:r>
        <w:rPr>
          <w:rFonts w:ascii="Times New Roman"/>
          <w:b w:val="false"/>
          <w:i w:val="false"/>
          <w:color w:val="000000"/>
          <w:sz w:val="28"/>
        </w:rPr>
        <w:t>нысанында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"30. Бірыңғай оператордың алдында берешектерін өтеу тәртібі туралы шартты уақытылы жасаспаған және (немесе) уақытылы төлемеген жағдайда, Құрылыс салушы, Уәкілетті компания төлем күнін қоса алғанда, Қазақстан Республикасы Ұлттық Банкінің базалық мөлшерлемесінің мөлшерінде кідіртілген әрбір күн үшін төлем сомасына өсімпұл төлейді.".</w:t>
      </w:r>
    </w:p>
    <w:bookmarkEnd w:id="3"/>
    <w:bookmarkStart w:name="z11" w:id="4"/>
    <w:p>
      <w:pPr>
        <w:spacing w:after="0"/>
        <w:ind w:left="0"/>
        <w:jc w:val="both"/>
      </w:pPr>
      <w:r>
        <w:rPr>
          <w:rFonts w:ascii="Times New Roman"/>
          <w:b w:val="false"/>
          <w:i w:val="false"/>
          <w:color w:val="000000"/>
          <w:sz w:val="28"/>
        </w:rPr>
        <w:t xml:space="preserve">
      3. Қазақстан Республикасы Индустрия және инфрақұрылымдық даму министрлігінің Құрылыс және тұрғын үй-коммуналдық шаруашылық істері комитеті заңнамамен бекітілген тәртіппен: </w:t>
      </w:r>
    </w:p>
    <w:bookmarkEnd w:id="4"/>
    <w:bookmarkStart w:name="z12"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13" w:id="6"/>
    <w:p>
      <w:pPr>
        <w:spacing w:after="0"/>
        <w:ind w:left="0"/>
        <w:jc w:val="both"/>
      </w:pPr>
      <w:r>
        <w:rPr>
          <w:rFonts w:ascii="Times New Roman"/>
          <w:b w:val="false"/>
          <w:i w:val="false"/>
          <w:color w:val="000000"/>
          <w:sz w:val="28"/>
        </w:rPr>
        <w:t>
      2) осы бұйрықтың Қазақстан Республикасы Индустрия және инфрақұрылымдық даму министрлігінің интернет-ресурсында орналастырылуын қамтамасыз етсін.</w:t>
      </w:r>
    </w:p>
    <w:bookmarkEnd w:id="6"/>
    <w:bookmarkStart w:name="z14"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Индустрия және инфрақұрылымдық даму вице-министріне жүктелсін.</w:t>
      </w:r>
    </w:p>
    <w:bookmarkEnd w:id="7"/>
    <w:bookmarkStart w:name="z15"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