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fde9" w14:textId="922f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 мен банк операцияларының жекелеген түрлерін жүзеге асыратын ұйымдардың, кастодиандардың, орталық депозитарийлердің, бағалы қағаздарды номиналды ұстаушы ретінде клиенттердің шоттарын жүргізу құқығы бар брокерлердің және (немесе) дилерлердің, инвестициялық портфельді басқарушылардың, сондай-ақ сақтандыру ұйымдарының мемлекеттік кірістер органдарына мәліметтерді ұсыну қағидалары мен мерзімдерін бекіту туралы" Қазақстан Республикасы Премьер-Министрінің Бірінші орынбасары – Қазақстан Республикасы Қаржы министрінің 2019 жылғы 27 желтоқсандағы № 1429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15 сәуірдегі № 344 бұйрығы. Қазақстан Республикасының Әділет министрлігінде 2021 жылғы 16 сәуірде № 22554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"Екінші деңгейдегі банктер мен банк операцияларының жекелеген түрлерін жүзеге асыратын ұйымдардың, кастодиандардың, орталық депозитарийлердің, бағалы қағаздарды номиналды ұстаушы ретінде клиенттердің шоттарын жүргізу құқығы бар брокерлердің және (немесе) дилерлердің, инвестициялық портфельді басқарушылардың, сондай-ақ сақтандыру ұйымдарының мемлекеттік кірістер органдарына мәліметтерді ұсыну қағидалары мен мерзімдерін бекіту туралы" Қазақстан Республикасы Премьер-Министрінің Бірінші орынбасары – Қазақстан Республикасы Қаржы министрінің 2019 жылғы 27 желтоқсандағы № 1429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19803 болып тіркелген, Қазақстан Республикасы Нормативтік құқықтық актілерінің Эталондық бақылау банкінде 2020 жылғы 6 қаңтарда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"Екінші деңгейдегі банктердің, Қазақстан Республикасының бейрезидент-банктерінің филиалдары мен банк операцияларының жекелеген түрлерін жүзеге асыратын ұйымдардың, кастодиандардың, орталық депозитарийлердің, бағалы қағаздарды номиналды ұстаушы ретінде клиенттердің шоттарын жүргізу құқығы бар брокерлердің және (немесе) дилерлердің, инвестициялық портфельді басқарушылардың, сондай-ақ сақтандыру (қайта сақтандыру) ұйымдарының, Қазақстан Республикасының бейрезидент-сақтандыру (қайта сақтандыру) ұйымдары филиалдарының мемлекеттік кірістер органдарына мәліметтерді ұсыну қағидалары мен мерзімдерін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Қоса беріліп отырған Екінші деңгейдегі банктердің, Қазақстан Республикасының бейрезидент-банктерінің филиалдары мен банк операцияларының жекелеген түрлерін жүзеге асыратын ұйымдардың, кастодиандардың, орталық депозитарийлердің, бағалы қағаздарды номиналды ұстаушы ретінде клиенттердің шоттарын жүргізу құқығы бар брокерлердің және (немесе) дилерлердің, инвестициялық портфельді басқарушылардың, сондай-ақ сақтандыру (қайта сақтандыру) ұйымдарының, Қазақстан Республикасының бейрезидент-сақтандыру (қайта сақтандыру) ұйымдары филиалдарының мемлекеттік кірістер органдарына мәліметтерді ұсыну қағидалары мен мерзімдері бекітілсін.";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Екінші деңгейдегі банктер мен банк операцияларының жекелеген түрлерін жүзеге асыратын ұйымдардың, кастодиандардың, орталық депозитарийлердің, бағалы қағаздарды номиналды ұстаушы ретінде клиенттердің шоттарын жүргізу құқығы бар брокерлердің және (немесе) дилерлердің, инвестициялық портфельді басқарушылардың, сондай-ақ сақтандыру ұйымдарының мемлекеттік кірістер органдарына мәліметтерді ұсыну </w:t>
      </w:r>
      <w:r>
        <w:rPr>
          <w:rFonts w:ascii="Times New Roman"/>
          <w:b w:val="false"/>
          <w:i w:val="false"/>
          <w:color w:val="000000"/>
          <w:sz w:val="28"/>
        </w:rPr>
        <w:t>қағидалары</w:t>
      </w:r>
      <w:r>
        <w:rPr>
          <w:rFonts w:ascii="Times New Roman"/>
          <w:b w:val="false"/>
          <w:i w:val="false"/>
          <w:color w:val="000000"/>
          <w:sz w:val="28"/>
        </w:rPr>
        <w:t xml:space="preserve"> мен мерзімдерінде:</w:t>
      </w:r>
    </w:p>
    <w:bookmarkEnd w:id="5"/>
    <w:bookmarkStart w:name="z9" w:id="6"/>
    <w:p>
      <w:pPr>
        <w:spacing w:after="0"/>
        <w:ind w:left="0"/>
        <w:jc w:val="both"/>
      </w:pPr>
      <w:r>
        <w:rPr>
          <w:rFonts w:ascii="Times New Roman"/>
          <w:b w:val="false"/>
          <w:i w:val="false"/>
          <w:color w:val="000000"/>
          <w:sz w:val="28"/>
        </w:rPr>
        <w:t>
      тақырып мынадай редакцияда жазылсын:</w:t>
      </w:r>
    </w:p>
    <w:bookmarkEnd w:id="6"/>
    <w:bookmarkStart w:name="z10" w:id="7"/>
    <w:p>
      <w:pPr>
        <w:spacing w:after="0"/>
        <w:ind w:left="0"/>
        <w:jc w:val="both"/>
      </w:pPr>
      <w:r>
        <w:rPr>
          <w:rFonts w:ascii="Times New Roman"/>
          <w:b w:val="false"/>
          <w:i w:val="false"/>
          <w:color w:val="000000"/>
          <w:sz w:val="28"/>
        </w:rPr>
        <w:t>
      "Екінші деңгейдегі банктердің, Қазақстан Республикасының бейрезидент-банктерінің филиалдары мен банк операцияларының жекелеген түрлерін жүзеге асыратын ұйымдардың, кастодиандардың, орталық депозитарийлердің, бағалы қағаздарды номиналды ұстаушы ретінде клиенттердің шоттарын жүргізу құқығы бар брокерлердің және (немесе) дилерлердің, инвестициялық портфельді басқарушылардың, сондай-ақ сақтандыру (қайта сақтандыру) ұйымдарының, Қазақстан Республикасының бейрезидент-сақтандыру (қайта сақтандыру) ұйымдары филиалдарының мемлекеттік кірістер органдарына мәліметтерді ұсыну қағидалары мен мерзімдері";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"1. Осы Екінші деңгейдегі банктердің, Қазақстан Республикасының бейрезидент-банктерінің филиалдары мен банк операцияларының жекелеген түрлерін жүзеге асыратын ұйымдардың, кастодиандардың, орталық депозитарийлердің, бағалы қағаздарды номиналды ұстаушы ретінде клиенттердің шоттарын жүргізу құқығы бар брокерлердің және (немесе) дилерлердің, инвестициялық портфельді басқарушылардың, сондай-ақ сақтандыру (қайта сақтандыру) ұйымдарының, Қазақстан Республикасының бейрезидент-сақтандыру (қайта сақтандыру) ұйымдары филиалдарының мемлекеттік кірістер органдарына мәліметтерді ұсыну қағидалары мен мерзімдері (бұдан әрі – Қағидалар) Қазақстан Республикасының 2014 жылғы 26 желтоқсандағы Заңымен ратификацияланған Салық істер бойынша өзара әкімшілік көмек туралы конвенцияға (бұдан әрі – Конвенция), "Салық және бюджетке төленетін басқа да міндетті төлемдер туралы" Қазақстан Республикасының 2017 жылғы 25 желтоқсандағы Кодексінің (Салық кодексі) 24-бабының </w:t>
      </w:r>
      <w:r>
        <w:rPr>
          <w:rFonts w:ascii="Times New Roman"/>
          <w:b w:val="false"/>
          <w:i w:val="false"/>
          <w:color w:val="000000"/>
          <w:sz w:val="28"/>
        </w:rPr>
        <w:t>2) тармақшасына</w:t>
      </w:r>
      <w:r>
        <w:rPr>
          <w:rFonts w:ascii="Times New Roman"/>
          <w:b w:val="false"/>
          <w:i w:val="false"/>
          <w:color w:val="000000"/>
          <w:sz w:val="28"/>
        </w:rPr>
        <w:t xml:space="preserve">, 27-бабының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p>
    <w:bookmarkEnd w:id="8"/>
    <w:bookmarkStart w:name="z13" w:id="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"2) есеп беруші қаржы ұйымы – екінші деңгейдегі банктер, Қазақстан Республикасының бейрезидент-банктерінің филиалдары мен банк операцияларының жекелеген түрлерін жүзеге асыратын ұйымдардың, кастодиандардың, орталық депозитарийлердің, бағалы қағаздарды номиналды ұстаушы ретінде клиенттердің шоттарын жүргізу құқығы бар брокерлердің және (немесе) дилерлердің, инвестициялық портфельді басқарушылардың, "өмірді сақтандыру" саласы бойынша қызметті жүзеге асыратын сақтандыру (қайта сақтандыру) ұйымдары, Қазақстан Республикасының бейрезидент-сақтандыру (қайта сақтандыру) ұйымдары филиалдары;".</w:t>
      </w:r>
    </w:p>
    <w:bookmarkEnd w:id="10"/>
    <w:bookmarkStart w:name="z15" w:id="1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17" w:id="1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3"/>
    <w:bookmarkStart w:name="z18" w:id="1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4"/>
    <w:bookmarkStart w:name="z19"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