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18be" w14:textId="cf41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26 сәуірдегі № 195 бұйрығы. Қазақстан Республикасының Әділет министрлігінде 2021 жылғы 27 сәуірде № 22626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мемлекеттік инвестициялар есебінен және квазимемлекеттік сектор қаражаты есебінен қаржыландырылатын Маңғыстау облысы аумағындағы туризм объектілер бойынша бір сатылы жобалау ("жұмыс жобасы" – ЖЖ) кезінде ЖСҚ үшін ғана әзірленеді.";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"3) жеке инвестициялар есебінен қаржыландырылатын туристік қызмет саласындағы уәкілетті органның ұсынысымен және сәулет, қала құрылысы және құрылыс саласындағы уәкілетті органның келісуімен Маңғыстау облысы аумағындағы туризм объектілер мен кешендер бойынша сараптамалық сүйемелдеу режимінде осы жобаны әзірлеудің тиісті кезеңдері бойынша жүзеге асырылуы мүмкін.".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