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fc7a3" w14:textId="6bfc7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нотариаттық ақпараттық жүйені пайдалану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2021 жылғы 30 сәуірдегі № 357 бұйрығы. Қазақстан Республикасының Әділет министрлігінде 2021 жылғы 6 мамырда № 22702 болып тіркелді.</w:t>
      </w:r>
    </w:p>
    <w:p>
      <w:pPr>
        <w:spacing w:after="0"/>
        <w:ind w:left="0"/>
        <w:jc w:val="both"/>
      </w:pPr>
      <w:bookmarkStart w:name="z1" w:id="0"/>
      <w:r>
        <w:rPr>
          <w:rFonts w:ascii="Times New Roman"/>
          <w:b w:val="false"/>
          <w:i w:val="false"/>
          <w:color w:val="000000"/>
          <w:sz w:val="28"/>
        </w:rPr>
        <w:t xml:space="preserve">
      "Нотариат туралы" Қазақстан Республикасы Заңының 4-1-бабының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Әділет министрінің 22.05.2025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Бірыңғай нотариаттық ақпараттық жүйені пайдалану қағидалары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 осы бұйрықты мемлекеттік тіркеуді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2021 жылғы 30 сәуірдегі</w:t>
            </w:r>
            <w:r>
              <w:br/>
            </w:r>
            <w:r>
              <w:rPr>
                <w:rFonts w:ascii="Times New Roman"/>
                <w:b w:val="false"/>
                <w:i w:val="false"/>
                <w:color w:val="000000"/>
                <w:sz w:val="20"/>
              </w:rPr>
              <w:t>№ 357 Бұйрыққа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Бірыңғай нотариаттық ақпараттық жүйені пайдалану қағидалары</w:t>
      </w:r>
    </w:p>
    <w:bookmarkEnd w:id="5"/>
    <w:bookmarkStart w:name="z8" w:id="6"/>
    <w:p>
      <w:pPr>
        <w:spacing w:after="0"/>
        <w:ind w:left="0"/>
        <w:jc w:val="left"/>
      </w:pPr>
      <w:r>
        <w:rPr>
          <w:rFonts w:ascii="Times New Roman"/>
          <w:b/>
          <w:i w:val="false"/>
          <w:color w:val="000000"/>
        </w:rPr>
        <w:t xml:space="preserve"> 1 - тарау. Жалпы ережелер</w:t>
      </w:r>
    </w:p>
    <w:bookmarkEnd w:id="6"/>
    <w:bookmarkStart w:name="z9" w:id="7"/>
    <w:p>
      <w:pPr>
        <w:spacing w:after="0"/>
        <w:ind w:left="0"/>
        <w:jc w:val="both"/>
      </w:pPr>
      <w:r>
        <w:rPr>
          <w:rFonts w:ascii="Times New Roman"/>
          <w:b w:val="false"/>
          <w:i w:val="false"/>
          <w:color w:val="000000"/>
          <w:sz w:val="28"/>
        </w:rPr>
        <w:t xml:space="preserve">
      1. Осы бірыңғай нотариаттық ақпараттық жүйені пайдалану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"Нотариат туралы" Қазақстан Республикасы Заңының 4-1 - 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бірыңғай нотариаттық ақпараттық жүйені (бұдан әрі мәтін бойынша - БНАЖ) пайдалану тәртібін айқындайды.</w:t>
      </w:r>
    </w:p>
    <w:bookmarkEnd w:id="7"/>
    <w:bookmarkStart w:name="z10" w:id="8"/>
    <w:p>
      <w:pPr>
        <w:spacing w:after="0"/>
        <w:ind w:left="0"/>
        <w:jc w:val="both"/>
      </w:pPr>
      <w:r>
        <w:rPr>
          <w:rFonts w:ascii="Times New Roman"/>
          <w:b w:val="false"/>
          <w:i w:val="false"/>
          <w:color w:val="000000"/>
          <w:sz w:val="28"/>
        </w:rPr>
        <w:t>
      2. Осы Қағидаларда пайдаланылатын негізгі ұғымдар:</w:t>
      </w:r>
    </w:p>
    <w:bookmarkEnd w:id="8"/>
    <w:bookmarkStart w:name="z11" w:id="9"/>
    <w:p>
      <w:pPr>
        <w:spacing w:after="0"/>
        <w:ind w:left="0"/>
        <w:jc w:val="both"/>
      </w:pPr>
      <w:r>
        <w:rPr>
          <w:rFonts w:ascii="Times New Roman"/>
          <w:b w:val="false"/>
          <w:i w:val="false"/>
          <w:color w:val="000000"/>
          <w:sz w:val="28"/>
        </w:rPr>
        <w:t>
      1) БНАЖ-ға қолжетімділікті ашу – БНАЖ-да есептік жазбаны құру жөніндегі іс-шаралар;</w:t>
      </w:r>
    </w:p>
    <w:bookmarkEnd w:id="9"/>
    <w:bookmarkStart w:name="z12" w:id="10"/>
    <w:p>
      <w:pPr>
        <w:spacing w:after="0"/>
        <w:ind w:left="0"/>
        <w:jc w:val="both"/>
      </w:pPr>
      <w:r>
        <w:rPr>
          <w:rFonts w:ascii="Times New Roman"/>
          <w:b w:val="false"/>
          <w:i w:val="false"/>
          <w:color w:val="000000"/>
          <w:sz w:val="28"/>
        </w:rPr>
        <w:t>
      2) БНАЖ пайдаланушы – БНАЖ жүйесінде нақты функцияларды орындау үшін тіркелген Қазақстан Республикасының нотариустары, аумақтық әділет органдардың, нотариаттық палаталардың және Республикалық нотариаттық палатаның қызметкерлері;</w:t>
      </w:r>
    </w:p>
    <w:bookmarkEnd w:id="10"/>
    <w:bookmarkStart w:name="z13" w:id="11"/>
    <w:p>
      <w:pPr>
        <w:spacing w:after="0"/>
        <w:ind w:left="0"/>
        <w:jc w:val="both"/>
      </w:pPr>
      <w:r>
        <w:rPr>
          <w:rFonts w:ascii="Times New Roman"/>
          <w:b w:val="false"/>
          <w:i w:val="false"/>
          <w:color w:val="000000"/>
          <w:sz w:val="28"/>
        </w:rPr>
        <w:t>
      3) есепке алу жазбасы – БНАЖ пайдаланушы туралы ақпарат: пайдаланушының аты, БНАЖ-мен жұмыс істеу кезінде ресурстарға қол жеткізу құқығы;</w:t>
      </w:r>
    </w:p>
    <w:bookmarkEnd w:id="11"/>
    <w:bookmarkStart w:name="z14" w:id="12"/>
    <w:p>
      <w:pPr>
        <w:spacing w:after="0"/>
        <w:ind w:left="0"/>
        <w:jc w:val="both"/>
      </w:pPr>
      <w:r>
        <w:rPr>
          <w:rFonts w:ascii="Times New Roman"/>
          <w:b w:val="false"/>
          <w:i w:val="false"/>
          <w:color w:val="000000"/>
          <w:sz w:val="28"/>
        </w:rPr>
        <w:t>
      4) электрондық -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Әділет министрінің 22.05.2025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2- тарау. БНАЖ пайдалану тәртібі</w:t>
      </w:r>
    </w:p>
    <w:bookmarkEnd w:id="13"/>
    <w:bookmarkStart w:name="z16" w:id="14"/>
    <w:p>
      <w:pPr>
        <w:spacing w:after="0"/>
        <w:ind w:left="0"/>
        <w:jc w:val="both"/>
      </w:pPr>
      <w:r>
        <w:rPr>
          <w:rFonts w:ascii="Times New Roman"/>
          <w:b w:val="false"/>
          <w:i w:val="false"/>
          <w:color w:val="000000"/>
          <w:sz w:val="28"/>
        </w:rPr>
        <w:t>
      3. БНАЖ-да жұмыс істеу үшін пайдаланушыға жеке тұлғаның ЭЦҚ-сы болуы қажет.</w:t>
      </w:r>
    </w:p>
    <w:bookmarkEnd w:id="14"/>
    <w:bookmarkStart w:name="z17" w:id="15"/>
    <w:p>
      <w:pPr>
        <w:spacing w:after="0"/>
        <w:ind w:left="0"/>
        <w:jc w:val="both"/>
      </w:pPr>
      <w:r>
        <w:rPr>
          <w:rFonts w:ascii="Times New Roman"/>
          <w:b w:val="false"/>
          <w:i w:val="false"/>
          <w:color w:val="000000"/>
          <w:sz w:val="28"/>
        </w:rPr>
        <w:t>
      4. Пайдаланушы БНАЖ-ға қолжетімділікті ашу үшін аумақтық нотариаттық палатаға (бұдан әрі – АНП) өтінішпен жүгінеді. Өтінішті қарастыру қорытындысы бойынша АНП қызметкері БНАЖ-да есептік жазба жасайды.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22.05.2025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5. БНАЖ-ға қол жеткізуді тоқтату үшін негіздер:</w:t>
      </w:r>
    </w:p>
    <w:bookmarkEnd w:id="16"/>
    <w:bookmarkStart w:name="z19" w:id="17"/>
    <w:p>
      <w:pPr>
        <w:spacing w:after="0"/>
        <w:ind w:left="0"/>
        <w:jc w:val="both"/>
      </w:pPr>
      <w:r>
        <w:rPr>
          <w:rFonts w:ascii="Times New Roman"/>
          <w:b w:val="false"/>
          <w:i w:val="false"/>
          <w:color w:val="000000"/>
          <w:sz w:val="28"/>
        </w:rPr>
        <w:t>
      1) нотариус аумақтық нотариаттық палатаның мүшелігінен шықса немесе шығарылса не оның лицензиясының күші тоқтатылса;</w:t>
      </w:r>
    </w:p>
    <w:bookmarkEnd w:id="17"/>
    <w:bookmarkStart w:name="z20" w:id="18"/>
    <w:p>
      <w:pPr>
        <w:spacing w:after="0"/>
        <w:ind w:left="0"/>
        <w:jc w:val="both"/>
      </w:pPr>
      <w:r>
        <w:rPr>
          <w:rFonts w:ascii="Times New Roman"/>
          <w:b w:val="false"/>
          <w:i w:val="false"/>
          <w:color w:val="000000"/>
          <w:sz w:val="28"/>
        </w:rPr>
        <w:t>
      2) аумақтық әділет органы мен нотариаттық палатаның және Республикалық нотариаттық палатаның қызметкерін жұмыстан босату.</w:t>
      </w:r>
    </w:p>
    <w:bookmarkEnd w:id="18"/>
    <w:bookmarkStart w:name="z35" w:id="19"/>
    <w:p>
      <w:pPr>
        <w:spacing w:after="0"/>
        <w:ind w:left="0"/>
        <w:jc w:val="both"/>
      </w:pPr>
      <w:r>
        <w:rPr>
          <w:rFonts w:ascii="Times New Roman"/>
          <w:b w:val="false"/>
          <w:i w:val="false"/>
          <w:color w:val="000000"/>
          <w:sz w:val="28"/>
        </w:rPr>
        <w:t xml:space="preserve">
      5-1. "Нотариат туралы" Заңның </w:t>
      </w:r>
      <w:r>
        <w:rPr>
          <w:rFonts w:ascii="Times New Roman"/>
          <w:b w:val="false"/>
          <w:i w:val="false"/>
          <w:color w:val="000000"/>
          <w:sz w:val="28"/>
        </w:rPr>
        <w:t>10-бабына</w:t>
      </w:r>
      <w:r>
        <w:rPr>
          <w:rFonts w:ascii="Times New Roman"/>
          <w:b w:val="false"/>
          <w:i w:val="false"/>
          <w:color w:val="000000"/>
          <w:sz w:val="28"/>
        </w:rPr>
        <w:t xml:space="preserve"> сәйкес нотариустың лицензиясының қолданысы тоқтатыла тұрған кезеңде БНАЖ жүйесіне қолжетімділігі де тоқтатылады.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5-1-тармақпен толықтырылды - ҚР Әділет министрінің 22.05.2025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6.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негіздер бойынша БНАЖ-ға қол жеткізуді тоқтату үшін пайдаланушыға растайтын құжаттарды қоса бере отырып, өтініш жіберуге болады. Өтініш негізінде АНП қызметкері пайдаланушының есептік жазбасын бұғаттайды.</w:t>
      </w:r>
    </w:p>
    <w:bookmarkEnd w:id="20"/>
    <w:bookmarkStart w:name="z22" w:id="21"/>
    <w:p>
      <w:pPr>
        <w:spacing w:after="0"/>
        <w:ind w:left="0"/>
        <w:jc w:val="both"/>
      </w:pPr>
      <w:r>
        <w:rPr>
          <w:rFonts w:ascii="Times New Roman"/>
          <w:b w:val="false"/>
          <w:i w:val="false"/>
          <w:color w:val="000000"/>
          <w:sz w:val="28"/>
        </w:rPr>
        <w:t>
      7. Тіркеу процесінің нәтижесі БНАЖ деректер базасында БНАЖ пайдаланушының есептік жазбасын қалыптастыру болып табылады.</w:t>
      </w:r>
    </w:p>
    <w:bookmarkEnd w:id="21"/>
    <w:bookmarkStart w:name="z23" w:id="22"/>
    <w:p>
      <w:pPr>
        <w:spacing w:after="0"/>
        <w:ind w:left="0"/>
        <w:jc w:val="both"/>
      </w:pPr>
      <w:r>
        <w:rPr>
          <w:rFonts w:ascii="Times New Roman"/>
          <w:b w:val="false"/>
          <w:i w:val="false"/>
          <w:color w:val="000000"/>
          <w:sz w:val="28"/>
        </w:rPr>
        <w:t>
      8. Жүйеде сәйкестендіру үшін БНАЖ пайдаланушы ЭЦҚ пайдалану қажет.</w:t>
      </w:r>
    </w:p>
    <w:bookmarkEnd w:id="22"/>
    <w:bookmarkStart w:name="z24" w:id="23"/>
    <w:p>
      <w:pPr>
        <w:spacing w:after="0"/>
        <w:ind w:left="0"/>
        <w:jc w:val="both"/>
      </w:pPr>
      <w:r>
        <w:rPr>
          <w:rFonts w:ascii="Times New Roman"/>
          <w:b w:val="false"/>
          <w:i w:val="false"/>
          <w:color w:val="000000"/>
          <w:sz w:val="28"/>
        </w:rPr>
        <w:t>
      9. ЭЦҚ-ны үшінші тұлғаларға беруге жол берілмейді.</w:t>
      </w:r>
    </w:p>
    <w:bookmarkEnd w:id="23"/>
    <w:bookmarkStart w:name="z25" w:id="24"/>
    <w:p>
      <w:pPr>
        <w:spacing w:after="0"/>
        <w:ind w:left="0"/>
        <w:jc w:val="both"/>
      </w:pPr>
      <w:r>
        <w:rPr>
          <w:rFonts w:ascii="Times New Roman"/>
          <w:b w:val="false"/>
          <w:i w:val="false"/>
          <w:color w:val="000000"/>
          <w:sz w:val="28"/>
        </w:rPr>
        <w:t>
      10. БНАЖ пайдаланушысына:</w:t>
      </w:r>
    </w:p>
    <w:bookmarkEnd w:id="24"/>
    <w:bookmarkStart w:name="z26" w:id="25"/>
    <w:p>
      <w:pPr>
        <w:spacing w:after="0"/>
        <w:ind w:left="0"/>
        <w:jc w:val="both"/>
      </w:pPr>
      <w:r>
        <w:rPr>
          <w:rFonts w:ascii="Times New Roman"/>
          <w:b w:val="false"/>
          <w:i w:val="false"/>
          <w:color w:val="000000"/>
          <w:sz w:val="28"/>
        </w:rPr>
        <w:t>
      1) басқаның есепке алу жазбасымен және ЭЦҚ-мен жұмыс істеуге;</w:t>
      </w:r>
    </w:p>
    <w:bookmarkEnd w:id="25"/>
    <w:bookmarkStart w:name="z27" w:id="26"/>
    <w:p>
      <w:pPr>
        <w:spacing w:after="0"/>
        <w:ind w:left="0"/>
        <w:jc w:val="both"/>
      </w:pPr>
      <w:r>
        <w:rPr>
          <w:rFonts w:ascii="Times New Roman"/>
          <w:b w:val="false"/>
          <w:i w:val="false"/>
          <w:color w:val="000000"/>
          <w:sz w:val="28"/>
        </w:rPr>
        <w:t>
      2) басқа әкімшілерген және БНАЖ пайдаланушыларына ЭЦҚ паролін хабарлауға;</w:t>
      </w:r>
    </w:p>
    <w:bookmarkEnd w:id="26"/>
    <w:bookmarkStart w:name="z28" w:id="27"/>
    <w:p>
      <w:pPr>
        <w:spacing w:after="0"/>
        <w:ind w:left="0"/>
        <w:jc w:val="both"/>
      </w:pPr>
      <w:r>
        <w:rPr>
          <w:rFonts w:ascii="Times New Roman"/>
          <w:b w:val="false"/>
          <w:i w:val="false"/>
          <w:color w:val="000000"/>
          <w:sz w:val="28"/>
        </w:rPr>
        <w:t>
      3) ЭЦҚ-дан парольді қағазға, файлға, электрондық жазба кітапшасына және басқа да ақпарат тасығыштарға, оның ішінде заттарға жазуға;</w:t>
      </w:r>
    </w:p>
    <w:bookmarkEnd w:id="27"/>
    <w:bookmarkStart w:name="z29" w:id="28"/>
    <w:p>
      <w:pPr>
        <w:spacing w:after="0"/>
        <w:ind w:left="0"/>
        <w:jc w:val="both"/>
      </w:pPr>
      <w:r>
        <w:rPr>
          <w:rFonts w:ascii="Times New Roman"/>
          <w:b w:val="false"/>
          <w:i w:val="false"/>
          <w:color w:val="000000"/>
          <w:sz w:val="28"/>
        </w:rPr>
        <w:t>
      4) жұмыс орнынан кеткенде БНАЖ жүйесін бұғатталмаған күйде қалдыруға рұқсат етілмейді.</w:t>
      </w:r>
    </w:p>
    <w:bookmarkEnd w:id="28"/>
    <w:bookmarkStart w:name="z30" w:id="29"/>
    <w:p>
      <w:pPr>
        <w:spacing w:after="0"/>
        <w:ind w:left="0"/>
        <w:jc w:val="both"/>
      </w:pPr>
      <w:r>
        <w:rPr>
          <w:rFonts w:ascii="Times New Roman"/>
          <w:b w:val="false"/>
          <w:i w:val="false"/>
          <w:color w:val="000000"/>
          <w:sz w:val="28"/>
        </w:rPr>
        <w:t>
      11. БНАЖ пайдаланушысы ЭЦҚ пайдалану кезінде келесі талаптарды басшылыққа алады:</w:t>
      </w:r>
    </w:p>
    <w:bookmarkEnd w:id="29"/>
    <w:bookmarkStart w:name="z31" w:id="30"/>
    <w:p>
      <w:pPr>
        <w:spacing w:after="0"/>
        <w:ind w:left="0"/>
        <w:jc w:val="both"/>
      </w:pPr>
      <w:r>
        <w:rPr>
          <w:rFonts w:ascii="Times New Roman"/>
          <w:b w:val="false"/>
          <w:i w:val="false"/>
          <w:color w:val="000000"/>
          <w:sz w:val="28"/>
        </w:rPr>
        <w:t>
      1) ЭЦҚ-ны басқа тұлғаларға бермеуге және сақтамауға;</w:t>
      </w:r>
    </w:p>
    <w:bookmarkEnd w:id="30"/>
    <w:bookmarkStart w:name="z32" w:id="31"/>
    <w:p>
      <w:pPr>
        <w:spacing w:after="0"/>
        <w:ind w:left="0"/>
        <w:jc w:val="both"/>
      </w:pPr>
      <w:r>
        <w:rPr>
          <w:rFonts w:ascii="Times New Roman"/>
          <w:b w:val="false"/>
          <w:i w:val="false"/>
          <w:color w:val="000000"/>
          <w:sz w:val="28"/>
        </w:rPr>
        <w:t xml:space="preserve">
      2) ЭЦҚ-ның пароль жоғалған/жария етілген жағдайда, ЭЦҚ-ны "Қазақстан Республикасының негізгі куәландырушы орталығының, мемлекеттік органдардың куәландырушы орталығының және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бекіту туралы" Қазақстан Республикасы инвестициялар және даму министрінің міндетін атқарушысының 2015 жылғы 26 маусымдағы № 727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Республикасының Әділет министрлігінде 2015 жылы 16 қазанда № 12181 болып тіркелді) қайтарып алу қажет;</w:t>
      </w:r>
    </w:p>
    <w:bookmarkEnd w:id="31"/>
    <w:bookmarkStart w:name="z33" w:id="32"/>
    <w:p>
      <w:pPr>
        <w:spacing w:after="0"/>
        <w:ind w:left="0"/>
        <w:jc w:val="both"/>
      </w:pPr>
      <w:r>
        <w:rPr>
          <w:rFonts w:ascii="Times New Roman"/>
          <w:b w:val="false"/>
          <w:i w:val="false"/>
          <w:color w:val="000000"/>
          <w:sz w:val="28"/>
        </w:rPr>
        <w:t>
      3) ЭЦҚ құпия сөзінің құпиялылығын және сақталуын қамтамасыз ету.</w:t>
      </w:r>
    </w:p>
    <w:bookmarkEnd w:id="32"/>
    <w:bookmarkStart w:name="z34" w:id="33"/>
    <w:p>
      <w:pPr>
        <w:spacing w:after="0"/>
        <w:ind w:left="0"/>
        <w:jc w:val="both"/>
      </w:pPr>
      <w:r>
        <w:rPr>
          <w:rFonts w:ascii="Times New Roman"/>
          <w:b w:val="false"/>
          <w:i w:val="false"/>
          <w:color w:val="000000"/>
          <w:sz w:val="28"/>
        </w:rPr>
        <w:t>
      12. ЭЦҚ алған күннен бастап күнтізбелік жыл өткен соң БНАЖ пайдаланушы жаңа ЭЦҚ қайта шығару қажет, олай болмаған жағдайда есептік жазба жүйемен автоматты түрде бұғатталады.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