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1c9e" w14:textId="c481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көтерме нарығын ұйымдастыру мен оның жұмыс істеу қағидаларын бекіту туралы" Қазақстан Республикасы Энергетика министрінің 2015 жылғы 20 ақпандағы № 106 бұйрығына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30 сәуірдегі № 160 бұйрығы. Қазақстан Республикасының Әділет министрлігінде 2021 жылғы 11 мамырда № 22732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энергиясының көтерме нарығын ұйымдастыру мен оның жұмыс істеу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сауда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7) тармақшамен толықтырылсын:</w:t>
      </w:r>
    </w:p>
    <w:bookmarkStart w:name="z5" w:id="3"/>
    <w:p>
      <w:pPr>
        <w:spacing w:after="0"/>
        <w:ind w:left="0"/>
        <w:jc w:val="both"/>
      </w:pPr>
      <w:r>
        <w:rPr>
          <w:rFonts w:ascii="Times New Roman"/>
          <w:b w:val="false"/>
          <w:i w:val="false"/>
          <w:color w:val="000000"/>
          <w:sz w:val="28"/>
        </w:rPr>
        <w:t>
      "7) эскроу-шот – клиент айқындаған шарттардың басталуына немесе орындалуына дейін банктік шот бойынша шығыс операцияларын жасауға үшінші тұлғаның құқығын шектей отырып, клиент осы тұлғаның атына ашатын ағымдағы немесе жинақ шоты.";</w:t>
      </w:r>
    </w:p>
    <w:bookmarkEnd w:id="3"/>
    <w:bookmarkStart w:name="z6" w:id="4"/>
    <w:p>
      <w:pPr>
        <w:spacing w:after="0"/>
        <w:ind w:left="0"/>
        <w:jc w:val="both"/>
      </w:pPr>
      <w:r>
        <w:rPr>
          <w:rFonts w:ascii="Times New Roman"/>
          <w:b w:val="false"/>
          <w:i w:val="false"/>
          <w:color w:val="000000"/>
          <w:sz w:val="28"/>
        </w:rPr>
        <w:t>
      мынадай мазмұндағы 6-3 және 6-4-тармақтармен толықтырылсын:</w:t>
      </w:r>
    </w:p>
    <w:bookmarkEnd w:id="4"/>
    <w:bookmarkStart w:name="z7" w:id="5"/>
    <w:p>
      <w:pPr>
        <w:spacing w:after="0"/>
        <w:ind w:left="0"/>
        <w:jc w:val="both"/>
      </w:pPr>
      <w:r>
        <w:rPr>
          <w:rFonts w:ascii="Times New Roman"/>
          <w:b w:val="false"/>
          <w:i w:val="false"/>
          <w:color w:val="000000"/>
          <w:sz w:val="28"/>
        </w:rPr>
        <w:t>
      "6-3. Энергия өндіруші ұйым электр энергиясының орталықтандырылған сауда-саттығының қорытындылары бойынша ол туралы ақпаратты өзінің интернет-ресурсында орналастырған өзінің генерациялайтын қондырғыларының электр қуатын желіге босату үшін бос электр қуаты болған кезде бірыңғай сатып алушымен электр қуатының жүктемені көтеруге әзірлігін қамтамасыз ету жөнінде қызметтер көрсетуге арналған шарты бар көтерме сауда нарығында электр энергиясын жекелеген сатып алушылармен шарт жасасудан бас тартпайды немесе жалтармайды, сондай-ақ электр энергиясын өндіру көлемін, оның ішінде бір сағаттық көлемін негізсіз қысқартпайды, не тұтынушылардың сұранысы мен тапсырыстары бар электр энергиясын өндіруді тоқтатпайды.</w:t>
      </w:r>
    </w:p>
    <w:bookmarkEnd w:id="5"/>
    <w:p>
      <w:pPr>
        <w:spacing w:after="0"/>
        <w:ind w:left="0"/>
        <w:jc w:val="both"/>
      </w:pPr>
      <w:r>
        <w:rPr>
          <w:rFonts w:ascii="Times New Roman"/>
          <w:b w:val="false"/>
          <w:i w:val="false"/>
          <w:color w:val="000000"/>
          <w:sz w:val="28"/>
        </w:rPr>
        <w:t>
      Бұл ретте шарт жасасудан бас тарту немесе жалтару, сондай-ақ электр энергиясын өндіруді қысқарту не тоқтату мынадай жағдайлардың бірінде, егер:</w:t>
      </w:r>
    </w:p>
    <w:p>
      <w:pPr>
        <w:spacing w:after="0"/>
        <w:ind w:left="0"/>
        <w:jc w:val="both"/>
      </w:pPr>
      <w:r>
        <w:rPr>
          <w:rFonts w:ascii="Times New Roman"/>
          <w:b w:val="false"/>
          <w:i w:val="false"/>
          <w:color w:val="000000"/>
          <w:sz w:val="28"/>
        </w:rPr>
        <w:t>
      энергия өндіруші ұйымда тұтынушы өтініш жасаған кезде электр энергиясын өндірудің, берудің жүйелік оператор растаған техникалық мүмкіндігі болмаса;</w:t>
      </w:r>
    </w:p>
    <w:p>
      <w:pPr>
        <w:spacing w:after="0"/>
        <w:ind w:left="0"/>
        <w:jc w:val="both"/>
      </w:pPr>
      <w:r>
        <w:rPr>
          <w:rFonts w:ascii="Times New Roman"/>
          <w:b w:val="false"/>
          <w:i w:val="false"/>
          <w:color w:val="000000"/>
          <w:sz w:val="28"/>
        </w:rPr>
        <w:t>
      энергия өндіруші ұйым жүйелік операторға шарттық көлемнің (реттеу диапазонының) шамасында қуатты реттеу бойынша қызметтер көрсетсе;</w:t>
      </w:r>
    </w:p>
    <w:p>
      <w:pPr>
        <w:spacing w:after="0"/>
        <w:ind w:left="0"/>
        <w:jc w:val="both"/>
      </w:pPr>
      <w:r>
        <w:rPr>
          <w:rFonts w:ascii="Times New Roman"/>
          <w:b w:val="false"/>
          <w:i w:val="false"/>
          <w:color w:val="000000"/>
          <w:sz w:val="28"/>
        </w:rPr>
        <w:t>
      энергия өндіруші ұйым Тиісті тұлғалар тобының тізіліміне енгізілген тұтынушыларды электр энергиясымен қамтамасыз ету үшін қолда бар қуаттың он пайызынан аспайтын мөлшерде электр қуаты резервінің қажетті шамасын ұстап тұрса;</w:t>
      </w:r>
    </w:p>
    <w:p>
      <w:pPr>
        <w:spacing w:after="0"/>
        <w:ind w:left="0"/>
        <w:jc w:val="both"/>
      </w:pPr>
      <w:r>
        <w:rPr>
          <w:rFonts w:ascii="Times New Roman"/>
          <w:b w:val="false"/>
          <w:i w:val="false"/>
          <w:color w:val="000000"/>
          <w:sz w:val="28"/>
        </w:rPr>
        <w:t>
      көтерме сауда нарығында электр энергиясын сатып алушы өтініш жасау кезінде төлем қабілеттілігін растамаса, негізді болып есептеледі.</w:t>
      </w:r>
    </w:p>
    <w:p>
      <w:pPr>
        <w:spacing w:after="0"/>
        <w:ind w:left="0"/>
        <w:jc w:val="both"/>
      </w:pPr>
      <w:r>
        <w:rPr>
          <w:rFonts w:ascii="Times New Roman"/>
          <w:b w:val="false"/>
          <w:i w:val="false"/>
          <w:color w:val="000000"/>
          <w:sz w:val="28"/>
        </w:rPr>
        <w:t>
      Өзінің төлем қабілеттілігін растау үшін тұтынушы мынадай шарттардың бірін орындайды:</w:t>
      </w:r>
    </w:p>
    <w:p>
      <w:pPr>
        <w:spacing w:after="0"/>
        <w:ind w:left="0"/>
        <w:jc w:val="both"/>
      </w:pPr>
      <w:r>
        <w:rPr>
          <w:rFonts w:ascii="Times New Roman"/>
          <w:b w:val="false"/>
          <w:i w:val="false"/>
          <w:color w:val="000000"/>
          <w:sz w:val="28"/>
        </w:rPr>
        <w:t>
      1) өтініш жасаудан 10 (он) жұмыс күні бұрын екінші деңгейдегі банкте арнайы шоты (эскроу-шоты) болады, онда берешек пайда болған жағдайда жасалған шарт шеңберінде тұтынушыға босатылған электр энергиясының нақты көлемі үшін энергия өндіруші ұйым ғана есептен шығаратын, өтініш жасалған кездегі тұтынудың мәлімделген көлемінің негізінде белгіленген электр энергиясын тұтынудың орташа айлық көлемін төлеу үшін жеткілікті ақша сомасы болады.</w:t>
      </w:r>
    </w:p>
    <w:p>
      <w:pPr>
        <w:spacing w:after="0"/>
        <w:ind w:left="0"/>
        <w:jc w:val="both"/>
      </w:pPr>
      <w:r>
        <w:rPr>
          <w:rFonts w:ascii="Times New Roman"/>
          <w:b w:val="false"/>
          <w:i w:val="false"/>
          <w:color w:val="000000"/>
          <w:sz w:val="28"/>
        </w:rPr>
        <w:t>
      Бұл ретте тұтынушы қажет болған жағдайда эскроу-шоттың ақшалай қаражатынан электр энергиясы үшін соңғы төлемді өтейді;</w:t>
      </w:r>
    </w:p>
    <w:p>
      <w:pPr>
        <w:spacing w:after="0"/>
        <w:ind w:left="0"/>
        <w:jc w:val="both"/>
      </w:pPr>
      <w:r>
        <w:rPr>
          <w:rFonts w:ascii="Times New Roman"/>
          <w:b w:val="false"/>
          <w:i w:val="false"/>
          <w:color w:val="000000"/>
          <w:sz w:val="28"/>
        </w:rPr>
        <w:t>
      2) өтініш жасаудан 10 (он) жұмыс күні бұрын тұтынушы электр энергиясын сатып алу-сату шартын жасасуды жоспарлап отырған энергия өндіруші ұйымның есеп айырысу шотына өтініш жасалған кездегі тұтынудың мәлімделген көлемінің негізінде белгіленген электр энергиясын тұтынудың орташа айлық көлемін төлеу үшін жеткілікті кепілдік жарна түріндегі ақша сомасын енгізеді.</w:t>
      </w:r>
    </w:p>
    <w:bookmarkStart w:name="z8" w:id="6"/>
    <w:p>
      <w:pPr>
        <w:spacing w:after="0"/>
        <w:ind w:left="0"/>
        <w:jc w:val="both"/>
      </w:pPr>
      <w:r>
        <w:rPr>
          <w:rFonts w:ascii="Times New Roman"/>
          <w:b w:val="false"/>
          <w:i w:val="false"/>
          <w:color w:val="000000"/>
          <w:sz w:val="28"/>
        </w:rPr>
        <w:t>
      6-4. Энергия өндіруші ұйымдар меншікті генерациялайтын қондырғылардың келісімшарт жасалған, орталықтандырылған сауда-саттықта сатуға жоспарланатын және желіге босату үшін бос электр қуаты туралы әрбір күнге арналған ақпаратты осы Қағидаларға 1-қосымшаға сәйкес нысан бойынша өздерінің интернет-ресурстарында орналастырады.";</w:t>
      </w:r>
    </w:p>
    <w:bookmarkEnd w:id="6"/>
    <w:bookmarkStart w:name="z9" w:id="7"/>
    <w:p>
      <w:pPr>
        <w:spacing w:after="0"/>
        <w:ind w:left="0"/>
        <w:jc w:val="both"/>
      </w:pPr>
      <w:r>
        <w:rPr>
          <w:rFonts w:ascii="Times New Roman"/>
          <w:b w:val="false"/>
          <w:i w:val="false"/>
          <w:color w:val="000000"/>
          <w:sz w:val="28"/>
        </w:rPr>
        <w:t>
      мынадай мазмұндағы 7-2-тармақпен толықтырылсын:</w:t>
      </w:r>
    </w:p>
    <w:bookmarkEnd w:id="7"/>
    <w:bookmarkStart w:name="z10" w:id="8"/>
    <w:p>
      <w:pPr>
        <w:spacing w:after="0"/>
        <w:ind w:left="0"/>
        <w:jc w:val="both"/>
      </w:pPr>
      <w:r>
        <w:rPr>
          <w:rFonts w:ascii="Times New Roman"/>
          <w:b w:val="false"/>
          <w:i w:val="false"/>
          <w:color w:val="000000"/>
          <w:sz w:val="28"/>
        </w:rPr>
        <w:t>
      "7-2. Энергия беруші ұйымдар осы Қағидаларға 2-қосымшаға сәйкес нысан бойынша ай сайын өздерінің интернет-ресурстарында меншікті электр беру желілерінің өткізу қабілеті және кіші станциялардың электр қуатының бос көлемі туралы ақпаратты орналастырады.";</w:t>
      </w:r>
    </w:p>
    <w:bookmarkEnd w:id="8"/>
    <w:bookmarkStart w:name="z11"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 және 2-қосымшалармен толықтырылсын.</w:t>
      </w:r>
    </w:p>
    <w:bookmarkEnd w:id="9"/>
    <w:bookmarkStart w:name="z12" w:id="10"/>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0"/>
    <w:bookmarkStart w:name="z13"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4" w:id="1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2"/>
    <w:bookmarkStart w:name="z15" w:id="13"/>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 күннен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End w:id="13"/>
    <w:bookmarkStart w:name="z16" w:id="1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14"/>
    <w:bookmarkStart w:name="z1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30 сәуірдегі</w:t>
            </w:r>
            <w:r>
              <w:br/>
            </w:r>
            <w:r>
              <w:rPr>
                <w:rFonts w:ascii="Times New Roman"/>
                <w:b w:val="false"/>
                <w:i w:val="false"/>
                <w:color w:val="000000"/>
                <w:sz w:val="20"/>
              </w:rPr>
              <w:t>№ 160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w:t>
            </w:r>
            <w:r>
              <w:br/>
            </w:r>
            <w:r>
              <w:rPr>
                <w:rFonts w:ascii="Times New Roman"/>
                <w:b w:val="false"/>
                <w:i w:val="false"/>
                <w:color w:val="000000"/>
                <w:sz w:val="20"/>
              </w:rPr>
              <w:t>көтерме нарығын ұйымдастыру</w:t>
            </w:r>
            <w:r>
              <w:br/>
            </w:r>
            <w:r>
              <w:rPr>
                <w:rFonts w:ascii="Times New Roman"/>
                <w:b w:val="false"/>
                <w:i w:val="false"/>
                <w:color w:val="000000"/>
                <w:sz w:val="20"/>
              </w:rPr>
              <w:t>мен оның жұмыс істеу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6"/>
    <w:p>
      <w:pPr>
        <w:spacing w:after="0"/>
        <w:ind w:left="0"/>
        <w:jc w:val="left"/>
      </w:pPr>
      <w:r>
        <w:rPr>
          <w:rFonts w:ascii="Times New Roman"/>
          <w:b/>
          <w:i w:val="false"/>
          <w:color w:val="000000"/>
        </w:rPr>
        <w:t xml:space="preserve"> Меншікті генерациялайтын қондырғылардың келісімшарт жасалған, орталықтандырылған сауда-саттықта сатуға жоспарланатын және желіге босату үшін бос электр қуаты туралы әрбір күнге арналған ақпарат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325"/>
        <w:gridCol w:w="815"/>
        <w:gridCol w:w="815"/>
        <w:gridCol w:w="1835"/>
        <w:gridCol w:w="3024"/>
        <w:gridCol w:w="1836"/>
        <w:gridCol w:w="1836"/>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қуаты туралы ақпарат,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саны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 қуат</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сауда-саттықта сатуға жоспарланатын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босату үшін бос электр қуаты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жеткізу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жеткізу</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30 сәуірдегі</w:t>
            </w:r>
            <w:r>
              <w:br/>
            </w:r>
            <w:r>
              <w:rPr>
                <w:rFonts w:ascii="Times New Roman"/>
                <w:b w:val="false"/>
                <w:i w:val="false"/>
                <w:color w:val="000000"/>
                <w:sz w:val="20"/>
              </w:rPr>
              <w:t>№ 160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нарығын ұйымдастыру мен</w:t>
            </w:r>
            <w:r>
              <w:br/>
            </w:r>
            <w:r>
              <w:rPr>
                <w:rFonts w:ascii="Times New Roman"/>
                <w:b w:val="false"/>
                <w:i w:val="false"/>
                <w:color w:val="000000"/>
                <w:sz w:val="20"/>
              </w:rPr>
              <w:t>оның жұмыс істеу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7"/>
    <w:p>
      <w:pPr>
        <w:spacing w:after="0"/>
        <w:ind w:left="0"/>
        <w:jc w:val="left"/>
      </w:pPr>
      <w:r>
        <w:rPr>
          <w:rFonts w:ascii="Times New Roman"/>
          <w:b/>
          <w:i w:val="false"/>
          <w:color w:val="000000"/>
        </w:rPr>
        <w:t xml:space="preserve"> Меншікті электр беру желілерінің өткізу қабілеті және кіші станциялардың электр қуатының бос көлемі туралы ақпарат</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531"/>
        <w:gridCol w:w="1105"/>
        <w:gridCol w:w="1105"/>
        <w:gridCol w:w="1957"/>
        <w:gridCol w:w="1957"/>
        <w:gridCol w:w="1532"/>
        <w:gridCol w:w="1532"/>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 атауы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деңгейі, кВ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Трансформатордың қуаты, кВА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МВт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қуат,МВт</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453"/>
        <w:gridCol w:w="2086"/>
        <w:gridCol w:w="2086"/>
        <w:gridCol w:w="1454"/>
        <w:gridCol w:w="1770"/>
        <w:gridCol w:w="1138"/>
        <w:gridCol w:w="1138"/>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желісінің атауы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желісінің ұзындығы, км</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желісінің қимасы, мм</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деңгейі, кВ</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өткізу қабілеті, МВт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МВт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қуат,МВт</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