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1f23" w14:textId="dc91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"Адвокаттық қызмет мәселелері бойынша мемлекеттiк қызметтер көрсету қағидаларын бекіту туралы" Қазақстан Республикасы Әділет министрінің міндетін атқарушының 2020 жылғы 28 мамырдағы № 61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28 мамырдағы № 440 бұйрығы. Қазақстан Республикасының Әділет министрлігінде 2021 жылғы 4 маусымда № 22930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"Адвокаттық қызмет мәселелері бойынша мемлекеттiк қызметтер көрсету қағидаларын бекіту туралы" Қазақстан Республикасы Әділет министрінің міндетін атқарушының 2020 жылғы 28 мамырдағы № 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20774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қызметпен айналысуға үміткер тұлғаларды аттестаттаудан өткізу"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Көрсетілетін қызметті алушының аттестаттауға жіберу туралы құжаттары Комиссиямен 13 (он үш) күнтізбелік күн ішінде қаралады. Қарау қорытындысы бойынша комиссия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үміткерді аттестаттауға жіберу немесе жіберуден бас тарту туралы дәлелді шешім шығарады.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Адвокаттық қызметпен айналысуға үміткер адам өтініш берген кезде аттестаттау өткізілетін орнын және тілін (қазақ немесе орыс) айқындауға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Егер, көрсетілетін қызметті алушы "Адвокаттық қызмет және заң көмегі туралы" 2018 жылғы 5 шілдедегі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келмесе, аттестаттауға жіберуден бас тартылады."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Көрсетілетін қызметті беруші аттестаттауға жіберуден бас тарту туралы шешімді өтініш келіп түскен күннен бастап 15 (он бес) күнтізбелік күннен кешіктірмей жібереді.";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Тестiлерге енгiзiлуi тиiс сұрақтар тiзбесiн Қазақстан Республикасы Әдiлет министрлігі бекiтедi. Үмiткерлердiң бiлiмiн бағалауға арналған сұрақтар адвокаттық қызметтi жүзеге асыру үшiн бiлудi қажет ететiн құқық пәндерiнiң тақырыптарына (Қазақстан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Қылмыстық-процестік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"Сыбайлас жемқорлыққа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"Адвокаттық қызмет және заң көмегі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) сәйкес келуi және бiреуi дұрыс болатын жауаптардың кемiнде үш нұсқасын қамтуы тиiс.".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Адвокаттық қызметпен айналысуға үміткер адамдарды аттестаттаудан өткізу мемлекеттік қызметті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мерзімі 15 (он бес) күнтізбелік күн.".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енгізілсін.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