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9ea1" w14:textId="bbc9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 шiлдедегі № 633 бұйрығы. Қазақстан Республикасының Әділет министрлігінде 2021 жылғы 9 шiлдеде № 23445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органдарды материалдық-техникалық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1-1. Кеңсе керек-жарақтары мен басқа да шығыс материалдарымен қамтамасыз етудің заттай нормалары мемлекеттік органдар үшін жылына 1 (бір) қызметкерге 8 (сегіз) айлық есептік көрсеткіш мөлшерінде бекітілсін.</w:t>
      </w:r>
    </w:p>
    <w:bookmarkEnd w:id="2"/>
    <w:p>
      <w:pPr>
        <w:spacing w:after="0"/>
        <w:ind w:left="0"/>
        <w:jc w:val="both"/>
      </w:pPr>
      <w:r>
        <w:rPr>
          <w:rFonts w:ascii="Times New Roman"/>
          <w:b w:val="false"/>
          <w:i w:val="false"/>
          <w:color w:val="000000"/>
          <w:sz w:val="28"/>
        </w:rPr>
        <w:t>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қызметкерлері үшін кеңсе керек-жарақтары мен басқа да шығыс материалдарымен қамтамасыз етудің заттай нормалары қолданылмайды.</w:t>
      </w:r>
    </w:p>
    <w:p>
      <w:pPr>
        <w:spacing w:after="0"/>
        <w:ind w:left="0"/>
        <w:jc w:val="both"/>
      </w:pPr>
      <w:r>
        <w:rPr>
          <w:rFonts w:ascii="Times New Roman"/>
          <w:b w:val="false"/>
          <w:i w:val="false"/>
          <w:color w:val="000000"/>
          <w:sz w:val="28"/>
        </w:rPr>
        <w:t>
      Мемлекеттік органдар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қызметінің ерекешелігін ескере отырып, қажет болған жағдайда кеңсе керек-жарақтары мен басқа да шығыс материалдарымен қамтамасыз етудің ішкі тәртібін дербес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14.10.2024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3"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4"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5"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6" w:id="7"/>
    <w:p>
      <w:pPr>
        <w:spacing w:after="0"/>
        <w:ind w:left="0"/>
        <w:jc w:val="both"/>
      </w:pPr>
      <w:r>
        <w:rPr>
          <w:rFonts w:ascii="Times New Roman"/>
          <w:b w:val="false"/>
          <w:i w:val="false"/>
          <w:color w:val="000000"/>
          <w:sz w:val="28"/>
        </w:rPr>
        <w:t>
      3. Осы бұйрықты іске асыру тиісті кезеңге арналған бюджетте көзделген қаражат шегінде жүзеге асырылсын.</w:t>
      </w:r>
    </w:p>
    <w:bookmarkEnd w:id="7"/>
    <w:bookmarkStart w:name="z7" w:id="8"/>
    <w:p>
      <w:pPr>
        <w:spacing w:after="0"/>
        <w:ind w:left="0"/>
        <w:jc w:val="both"/>
      </w:pPr>
      <w:r>
        <w:rPr>
          <w:rFonts w:ascii="Times New Roman"/>
          <w:b w:val="false"/>
          <w:i w:val="false"/>
          <w:color w:val="000000"/>
          <w:sz w:val="28"/>
        </w:rPr>
        <w:t>
      4. Осы бұйрық алғашқы оның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633 бұйрығымен</w:t>
            </w:r>
            <w:r>
              <w:br/>
            </w:r>
            <w:r>
              <w:rPr>
                <w:rFonts w:ascii="Times New Roman"/>
                <w:b w:val="false"/>
                <w:i w:val="false"/>
                <w:color w:val="000000"/>
                <w:sz w:val="20"/>
              </w:rPr>
              <w:t>бекітілген</w:t>
            </w:r>
          </w:p>
        </w:tc>
      </w:tr>
    </w:tbl>
    <w:bookmarkStart w:name="z9" w:id="9"/>
    <w:p>
      <w:pPr>
        <w:spacing w:after="0"/>
        <w:ind w:left="0"/>
        <w:jc w:val="left"/>
      </w:pPr>
      <w:r>
        <w:rPr>
          <w:rFonts w:ascii="Times New Roman"/>
          <w:b/>
          <w:i w:val="false"/>
          <w:color w:val="000000"/>
        </w:rPr>
        <w:t xml:space="preserve"> Мемлекеттік органдарды материалдық-техникалық қамтамасыз етудің заттай нормалары</w:t>
      </w:r>
    </w:p>
    <w:bookmarkEnd w:id="9"/>
    <w:p>
      <w:pPr>
        <w:spacing w:after="0"/>
        <w:ind w:left="0"/>
        <w:jc w:val="both"/>
      </w:pPr>
      <w:r>
        <w:rPr>
          <w:rFonts w:ascii="Times New Roman"/>
          <w:b w:val="false"/>
          <w:i w:val="false"/>
          <w:color w:val="ff0000"/>
          <w:sz w:val="28"/>
        </w:rPr>
        <w:t xml:space="preserve">
      Ескерту. Нормаларға өзгеріс енгізілді – ҚР Премьер-Министрінің орынбасары - Қаржы министрінің 09.06.2022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18.05.2023 </w:t>
      </w:r>
      <w:r>
        <w:rPr>
          <w:rFonts w:ascii="Times New Roman"/>
          <w:b w:val="false"/>
          <w:i w:val="false"/>
          <w:color w:val="ff0000"/>
          <w:sz w:val="28"/>
        </w:rPr>
        <w:t>№ 520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14.10.2024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Таралу саласы, лауазымның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Жабдықтаудың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ету мерзімі/пайдаланылу мерзімі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сипаттамасы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жергілікті атқарушы органдардың басшылығы (министр, вице-министрлер, аппарат басшысы, комитеттердің төрағалары, облыстардың, республикалық маңызы бар қалалардың, астананың, аудандардың (облыстық маңызы бар қалалардың) әкімдері, облыстар, республикалық маңызы бар қалалар, астана, аудандар (облыстық маңызы бар қалалар) әкімдерінің орынбасарлары (аппарат басшылары), облыстардың, республикалық маңызы бар қалалардың, астананың тексеру комиссияларының құрылымдық бөлімшелерінің төрағалары, мүшелері және басшылары)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 диван, 2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 былғары немесе гобелен; шынтақшасының материалы: табиғи ағаш/пластик/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полиэстер;70% Полиэстер; 30% зығыр; тығыздығы 90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70% артық емес;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 воландары, қатпарлары немесе шашақтары бар тығыз ауыр матадан жасалған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багеттегі саяси-әкімшілік; багет материалы: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ЛБТ немесе АҰДФ, өргіш,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тұғыры бар магнитті-маркерлік; бұрыштары бар алюминийден жасалған рамка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табиғи ағаш, ЛБТ немесе АҰДФ, өргіш, металл, қабырғалық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Елтаңба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989-2014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988-2007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 диван, 2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шынайы былғары, экобылғары немесе гобелен; шынтақшалары: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декоративтік бейіндегі материал: табиғи ағаш,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табиғи ағаш, ЛБТ немесе АҰДФ, пластик, металл, түрі: қабырғалық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табиғи ағаш,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 70% полиэстер;30% зығыр; тығыздығы 83 г/м²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80% артық емес; тығыздығы: 400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табиғи ағаш, ЛБТ немесе АҰДФ, шыбық, меттал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табиғи былғары, экобылғары немесе гобелен; шынтақшасының материалы: табиғи ағаш, пластик немесе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фурнитура: импорттық немесе отандық өндіріс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табиғи ағаш, ЛБТ немесе АҰДФ; фурнитура: импорттық немесе отандық өндіріс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 қойғыштардың материалы: пиджіргіш/металл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 қойғыштардың материалы: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(2 кресла)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 гобилен; шынтақшалары: ЛБТ/АҰДФ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 70% полиэстер; 30% зығыр; тығыздығы 83 г/м²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80% артық емес; тығыздығы: 400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көрініс: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пішіні: кактус, материал: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көшірме. макс. басып шығару жылдамдығы: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департаменттерінің басшылығы және комитеттер төрағаларының орынбасарлары, орталық мемлекеттік органдардың облыстардағы, республикалық маңызы бар қалалардағы аумақтық органының басшысы, аудандардағы (аудандық маңызы бар қалалардағы) орталық мемлекеттік органдардың аумақтық органының басшысы, облыстардың, республикалық маңызы бар қалалардың, астананың, аудандардың (облыстық маңызы бар қалалардың) әкімі аппаратының құрылымдық бөлімшесінің басшысы, облыстық бюджеттен, Республикалық маңызы бар қаланың бюджеттерінен қаржыландырылатын атқарушы органдардың басшысы, Астана қаласының, аудан (облыстық маңызы бар қала) бюджетінің)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тығыз перде матасы; 70% артық емес полиэстер; 50% артық емес жібек; 30% артық емес вискоза; тығыздығы: 600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зығыр және полиэстер;70% полиэстер; 30% зығыр; тығыздығы 90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ролл-перделер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полиэфирлі мата; атласты өру; жарық өткізгіштігі: 70% артық емес;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ламбрекен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жабысқақ бүрку; материал: тығыз перде матасы; тығыз ауыр матадан жасалған көлденең драпировка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түйіндік; түкті; кілемнің тығыздығы: бір шаршы метрге 200000 байламнан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Елтаңба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989-2014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988-2007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еден, үстел; су үшін: суық / ыстық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алюминий, пластик;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пішіні: кактус, материал: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 не менее 2.90 GHz, HDD не менее 500 GB, SSD не менее 128 GB, ОЗУ не менее 8 GВ, операционная система, офисный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сканер, көш. барынша басу жылдамдығы: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комитеттер директорының орынбасары, басқарма басшысы, облыстардағы, республикалық маңызы бар қалалардағы, астанадағы орталық мемлекеттік органдардың аумақтық органы басшысының орынбасары, облыстық бюджеттен, Республикалық маңызы бар қала, астана бюджеттерінен, аудан (облыстық маңызы бар қала) бюджетінен қаржыландырылатын атқарушы орган басшысының орынбасары, облыс, республикалық маңызы бар қала және Астана, аудан (облыстық маңызы бар қала) мәслихатының хатшысы, облыс мәслихаты аппаратының басшысы, Республикалық маңызы бар қаланың және астананың, ауданның (облыстық маңызы бар қаланың))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алюминий, пластик;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 еден; бұйра иықтар; материал: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сандық немесе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қабырғалық; багет материалы: ЛБТ немесе АҰДФ, пластик,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аумақтық органының бөлім басшысы, аудандардағы (аудандық маңызы бар қалалардағы) орталық мемлекеттік органдардың аумақтық органының басшысы, қызметкерлер; қаладағы ауданның, аудандық маңызы бар қаланың, кенттің, селоның әкімдері, облыстық бюджеттен, Республикалық маңызы бар қала, астана бюджеттерінен, аудан (облыстық маңызы бар қала) бюджетінен қаржыландырылатын атқарушы органның құрылымдық бөлімшесінің басшысы, облыс, республикалық маңызы бар қалалар, астана, аудан (облыстық маңызы бар қалалар) әкімі аппаратының қызметкерлері, облыстық бюджеттен, Республикалық маңызы бар қала, астана бюджеттерінен, аудан (облыстық маңызы бар қала) бюджеттерінен қаржыландырылатын атқарушы органның қызметкерлері, облыстардың, республикалық маңызы бар, Республикалық маңызы бар қалалардың, облыстың, республикалық маңызы бар қаланың және астананың, ауданның (облыстық маңызы бар қаланың) мәслихат аппаратының қызметкерлері)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жиһазы және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ЛБТ немесе АҰДФ</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қаптауыш: экобылғары немесе гобелен; шынтақшалардың материалы: ЛБТ немесе АҰДФ / пластик /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мата; түрі: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аппарат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аналогтық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қабырғаға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ЛБТ немесе АҰДФ, пластик, металл; сыртқы түрі: қабырға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 сөрелер саны: 4-тен көп емес; құлып түрлері: негізгі / кодтық электрондық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 7 деңгейден артық емес; кіру ойығының ені: 400 мм артық емес; кесу қуаты: 25 парақтан артық емес (80 г/м²); A4 парағын кесу: 9000 фрагментке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14.10.2024 </w:t>
            </w:r>
            <w:r>
              <w:rPr>
                <w:rFonts w:ascii="Times New Roman"/>
                <w:b w:val="false"/>
                <w:i w:val="false"/>
                <w:color w:val="ff0000"/>
                <w:sz w:val="20"/>
              </w:rPr>
              <w:t>№ 694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bookmarkStart w:name="z10" w:id="10"/>
    <w:p>
      <w:pPr>
        <w:spacing w:after="0"/>
        <w:ind w:left="0"/>
        <w:jc w:val="both"/>
      </w:pPr>
      <w:r>
        <w:rPr>
          <w:rFonts w:ascii="Times New Roman"/>
          <w:b w:val="false"/>
          <w:i w:val="false"/>
          <w:color w:val="000000"/>
          <w:sz w:val="28"/>
        </w:rPr>
        <w:t>
      Ескертпе: * – қажетті көлемнің мұқтаждығына байланысты;</w:t>
      </w:r>
    </w:p>
    <w:bookmarkEnd w:id="10"/>
    <w:p>
      <w:pPr>
        <w:spacing w:after="0"/>
        <w:ind w:left="0"/>
        <w:jc w:val="both"/>
      </w:pPr>
      <w:r>
        <w:rPr>
          <w:rFonts w:ascii="Times New Roman"/>
          <w:b w:val="false"/>
          <w:i w:val="false"/>
          <w:color w:val="000000"/>
          <w:sz w:val="28"/>
        </w:rPr>
        <w:t>
      ** – саны принтердің техникалық сипаттамаларымен анықталады.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ОА – орталық аппарат;</w:t>
      </w:r>
    </w:p>
    <w:p>
      <w:pPr>
        <w:spacing w:after="0"/>
        <w:ind w:left="0"/>
        <w:jc w:val="both"/>
      </w:pPr>
      <w:r>
        <w:rPr>
          <w:rFonts w:ascii="Times New Roman"/>
          <w:b w:val="false"/>
          <w:i w:val="false"/>
          <w:color w:val="000000"/>
          <w:sz w:val="28"/>
        </w:rPr>
        <w:t>
      ЛБТ – ламинатталған бөлшектер тақтасы;</w:t>
      </w:r>
    </w:p>
    <w:p>
      <w:pPr>
        <w:spacing w:after="0"/>
        <w:ind w:left="0"/>
        <w:jc w:val="both"/>
      </w:pPr>
      <w:r>
        <w:rPr>
          <w:rFonts w:ascii="Times New Roman"/>
          <w:b w:val="false"/>
          <w:i w:val="false"/>
          <w:color w:val="000000"/>
          <w:sz w:val="28"/>
        </w:rPr>
        <w:t>
      АҰДФ – ағаштың ұсақ дисперсті фракциясы;</w:t>
      </w:r>
    </w:p>
    <w:p>
      <w:pPr>
        <w:spacing w:after="0"/>
        <w:ind w:left="0"/>
        <w:jc w:val="both"/>
      </w:pPr>
      <w:r>
        <w:rPr>
          <w:rFonts w:ascii="Times New Roman"/>
          <w:b w:val="false"/>
          <w:i w:val="false"/>
          <w:color w:val="000000"/>
          <w:sz w:val="28"/>
        </w:rPr>
        <w:t>
      ҮҚК – үздіксіз қоректендіру көзі (агрегат);</w:t>
      </w:r>
    </w:p>
    <w:p>
      <w:pPr>
        <w:spacing w:after="0"/>
        <w:ind w:left="0"/>
        <w:jc w:val="both"/>
      </w:pPr>
      <w:r>
        <w:rPr>
          <w:rFonts w:ascii="Times New Roman"/>
          <w:b w:val="false"/>
          <w:i w:val="false"/>
          <w:color w:val="000000"/>
          <w:sz w:val="28"/>
        </w:rPr>
        <w:t>
      КФҚ – көп функциялы құрылғы;</w:t>
      </w:r>
    </w:p>
    <w:p>
      <w:pPr>
        <w:spacing w:after="0"/>
        <w:ind w:left="0"/>
        <w:jc w:val="both"/>
      </w:pPr>
      <w:r>
        <w:rPr>
          <w:rFonts w:ascii="Times New Roman"/>
          <w:b w:val="false"/>
          <w:i w:val="false"/>
          <w:color w:val="000000"/>
          <w:sz w:val="28"/>
        </w:rPr>
        <w:t>
      ТВ – терабайт;</w:t>
      </w:r>
    </w:p>
    <w:p>
      <w:pPr>
        <w:spacing w:after="0"/>
        <w:ind w:left="0"/>
        <w:jc w:val="both"/>
      </w:pPr>
      <w:r>
        <w:rPr>
          <w:rFonts w:ascii="Times New Roman"/>
          <w:b w:val="false"/>
          <w:i w:val="false"/>
          <w:color w:val="000000"/>
          <w:sz w:val="28"/>
        </w:rPr>
        <w:t>
      KVM – keyboard (пернетақта), video monitor (видеомонитор), mouse (тышқан);</w:t>
      </w:r>
    </w:p>
    <w:p>
      <w:pPr>
        <w:spacing w:after="0"/>
        <w:ind w:left="0"/>
        <w:jc w:val="both"/>
      </w:pPr>
      <w:r>
        <w:rPr>
          <w:rFonts w:ascii="Times New Roman"/>
          <w:b w:val="false"/>
          <w:i w:val="false"/>
          <w:color w:val="000000"/>
          <w:sz w:val="28"/>
        </w:rPr>
        <w:t>
      г/м² - шаршы метрге грамм;</w:t>
      </w:r>
    </w:p>
    <w:p>
      <w:pPr>
        <w:spacing w:after="0"/>
        <w:ind w:left="0"/>
        <w:jc w:val="both"/>
      </w:pPr>
      <w:r>
        <w:rPr>
          <w:rFonts w:ascii="Times New Roman"/>
          <w:b w:val="false"/>
          <w:i w:val="false"/>
          <w:color w:val="000000"/>
          <w:sz w:val="28"/>
        </w:rPr>
        <w:t>
      СТ РК – Қазақстан Республикасының ұлттық стандарты;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HB – қатты-жұмсақ.</w:t>
      </w:r>
    </w:p>
    <w:p>
      <w:pPr>
        <w:spacing w:after="0"/>
        <w:ind w:left="0"/>
        <w:jc w:val="both"/>
      </w:pPr>
      <w:r>
        <w:rPr>
          <w:rFonts w:ascii="Times New Roman"/>
          <w:b w:val="false"/>
          <w:i w:val="false"/>
          <w:color w:val="000000"/>
          <w:sz w:val="28"/>
        </w:rPr>
        <w:t xml:space="preserve">
      Осы заттай нормалары Қазақстан Республикасының Қорғаныс министрлігіне, Қазақстан Республикасының Ішкі істер министрлігіне, арнайы мемлекеттік және құқық қорғау органдарға қолданылмайды.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