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53e0" w14:textId="a485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объектілеріне жол берілетін антропогендік әсер ету нормативтерін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16 шiлдедегі № 254 бұйрығы. Қазақстан Республикасының Әділет министрлігінде 2021 жылғы 23 шiлдеде № 23672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Су объектілеріне жол берілетін антропогендік әсер ету нормативтерін айқындау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алғашқы ресми жарияланған күнінен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254 Бұйрығына қосымша</w:t>
            </w:r>
          </w:p>
        </w:tc>
      </w:tr>
    </w:tbl>
    <w:bookmarkStart w:name="z10" w:id="8"/>
    <w:p>
      <w:pPr>
        <w:spacing w:after="0"/>
        <w:ind w:left="0"/>
        <w:jc w:val="left"/>
      </w:pPr>
      <w:r>
        <w:rPr>
          <w:rFonts w:ascii="Times New Roman"/>
          <w:b/>
          <w:i w:val="false"/>
          <w:color w:val="000000"/>
        </w:rPr>
        <w:t xml:space="preserve"> Су объектілеріне жол берілетін антропогендік әсер ету нормативтерін айқындау қағидалары</w:t>
      </w:r>
    </w:p>
    <w:bookmarkEnd w:id="8"/>
    <w:bookmarkStart w:name="z11" w:id="9"/>
    <w:p>
      <w:pPr>
        <w:spacing w:after="0"/>
        <w:ind w:left="0"/>
        <w:jc w:val="both"/>
      </w:pPr>
      <w:r>
        <w:rPr>
          <w:rFonts w:ascii="Times New Roman"/>
          <w:b w:val="false"/>
          <w:i w:val="false"/>
          <w:color w:val="000000"/>
          <w:sz w:val="28"/>
        </w:rPr>
        <w:t xml:space="preserve">
      1. Осы Су объектілеріне жол берілетін антропогендік әсер ету нормативтерін айқындау қағидалары (бұдан әрі – Қағидалар) Қазақстан Республикасы Экология кодексінің (бұдан әрі – Кодекс)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су объектілеріне антропогендік әсер ету нормативтерін әзірлеу және белгілеу тәртібін айқындайды.</w:t>
      </w:r>
    </w:p>
    <w:bookmarkEnd w:id="9"/>
    <w:bookmarkStart w:name="z12" w:id="10"/>
    <w:p>
      <w:pPr>
        <w:spacing w:after="0"/>
        <w:ind w:left="0"/>
        <w:jc w:val="both"/>
      </w:pPr>
      <w:r>
        <w:rPr>
          <w:rFonts w:ascii="Times New Roman"/>
          <w:b w:val="false"/>
          <w:i w:val="false"/>
          <w:color w:val="000000"/>
          <w:sz w:val="28"/>
        </w:rPr>
        <w:t xml:space="preserve">
      2. Кодекстің 215-бабының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суға жол берілетін антропогендік әсер етудің мынадай нормативтерін:</w:t>
      </w:r>
    </w:p>
    <w:bookmarkEnd w:id="10"/>
    <w:p>
      <w:pPr>
        <w:spacing w:after="0"/>
        <w:ind w:left="0"/>
        <w:jc w:val="both"/>
      </w:pPr>
      <w:r>
        <w:rPr>
          <w:rFonts w:ascii="Times New Roman"/>
          <w:b w:val="false"/>
          <w:i w:val="false"/>
          <w:color w:val="000000"/>
          <w:sz w:val="28"/>
        </w:rPr>
        <w:t>
      1) жол берілетін төгінділер нормативтерін;</w:t>
      </w:r>
    </w:p>
    <w:p>
      <w:pPr>
        <w:spacing w:after="0"/>
        <w:ind w:left="0"/>
        <w:jc w:val="both"/>
      </w:pPr>
      <w:r>
        <w:rPr>
          <w:rFonts w:ascii="Times New Roman"/>
          <w:b w:val="false"/>
          <w:i w:val="false"/>
          <w:color w:val="000000"/>
          <w:sz w:val="28"/>
        </w:rPr>
        <w:t>
      2) төгінділердің технологиялық нормативтерін;</w:t>
      </w:r>
    </w:p>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Start w:name="z13" w:id="11"/>
    <w:p>
      <w:pPr>
        <w:spacing w:after="0"/>
        <w:ind w:left="0"/>
        <w:jc w:val="left"/>
      </w:pPr>
      <w:r>
        <w:rPr>
          <w:rFonts w:ascii="Times New Roman"/>
          <w:b/>
          <w:i w:val="false"/>
          <w:color w:val="000000"/>
        </w:rPr>
        <w:t xml:space="preserve"> 1-тарау. Жол берілетін төгінділер нормативтері</w:t>
      </w:r>
    </w:p>
    <w:bookmarkEnd w:id="11"/>
    <w:bookmarkStart w:name="z14" w:id="12"/>
    <w:p>
      <w:pPr>
        <w:spacing w:after="0"/>
        <w:ind w:left="0"/>
        <w:jc w:val="both"/>
      </w:pPr>
      <w:r>
        <w:rPr>
          <w:rFonts w:ascii="Times New Roman"/>
          <w:b w:val="false"/>
          <w:i w:val="false"/>
          <w:color w:val="000000"/>
          <w:sz w:val="28"/>
        </w:rPr>
        <w:t xml:space="preserve">
      3. Жол берілетін төгінділер нормативтерін айқындау Кодекстің және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№22317 болып тіркелген) Қоршаған ортаға эмиссиялар нормативтерін айқындау әдістемесінің (бұдан әрі – Әдістеме) талаптарына сәйкес есептеу жолымен жүзеге асырылады.</w:t>
      </w:r>
    </w:p>
    <w:bookmarkEnd w:id="12"/>
    <w:p>
      <w:pPr>
        <w:spacing w:after="0"/>
        <w:ind w:left="0"/>
        <w:jc w:val="left"/>
      </w:pPr>
      <w:r>
        <w:rPr>
          <w:rFonts w:ascii="Times New Roman"/>
          <w:b/>
          <w:i w:val="false"/>
          <w:color w:val="000000"/>
        </w:rPr>
        <w:t xml:space="preserve"> 2-тарау. Төгінділердің технологиялық нормативтері</w:t>
      </w:r>
    </w:p>
    <w:bookmarkStart w:name="z15" w:id="13"/>
    <w:p>
      <w:pPr>
        <w:spacing w:after="0"/>
        <w:ind w:left="0"/>
        <w:jc w:val="both"/>
      </w:pPr>
      <w:r>
        <w:rPr>
          <w:rFonts w:ascii="Times New Roman"/>
          <w:b w:val="false"/>
          <w:i w:val="false"/>
          <w:color w:val="000000"/>
          <w:sz w:val="28"/>
        </w:rPr>
        <w:t>
      4. Осы Қағидаларда төгінділердің технологиялық нормативтері деп кешенді экологиялық рұқсатта сарқынды су көлемінің бірлігіне маркерлік ластағыш заттар төгіндісінің шекті мөлшері (массасы) түрінде белгіленетін төгіндінің экологиялық нормативтері түсініледі.</w:t>
      </w:r>
    </w:p>
    <w:bookmarkEnd w:id="13"/>
    <w:bookmarkStart w:name="z16" w:id="14"/>
    <w:p>
      <w:pPr>
        <w:spacing w:after="0"/>
        <w:ind w:left="0"/>
        <w:jc w:val="both"/>
      </w:pPr>
      <w:r>
        <w:rPr>
          <w:rFonts w:ascii="Times New Roman"/>
          <w:b w:val="false"/>
          <w:i w:val="false"/>
          <w:color w:val="000000"/>
          <w:sz w:val="28"/>
        </w:rPr>
        <w:t>
      5. Төгінділердің технологиялық нормативтері кешенді экологиялық рұқсатта белгіленеді және ең үздік қолжетімді техникалар бойынша қорытындыда белгіленген оларды қолданудың нақты салалары бойынша ең үздік қолжетімді техникаларды қолдануға байланысты тиісті технологиялық көрсеткіштерден (олар болған кезде) аспауға тиіс.</w:t>
      </w:r>
    </w:p>
    <w:bookmarkEnd w:id="14"/>
    <w:bookmarkStart w:name="z17" w:id="15"/>
    <w:p>
      <w:pPr>
        <w:spacing w:after="0"/>
        <w:ind w:left="0"/>
        <w:jc w:val="both"/>
      </w:pPr>
      <w:r>
        <w:rPr>
          <w:rFonts w:ascii="Times New Roman"/>
          <w:b w:val="false"/>
          <w:i w:val="false"/>
          <w:color w:val="000000"/>
          <w:sz w:val="28"/>
        </w:rPr>
        <w:t xml:space="preserve">
      6. Төгінділердің технологиялық нормативтерін негіздеу объектінің операторы қоршаған ортаны қорғау саласындағы уәкілетті органға Кодекстің </w:t>
      </w:r>
      <w:r>
        <w:rPr>
          <w:rFonts w:ascii="Times New Roman"/>
          <w:b w:val="false"/>
          <w:i w:val="false"/>
          <w:color w:val="000000"/>
          <w:sz w:val="28"/>
        </w:rPr>
        <w:t>111-бабына</w:t>
      </w:r>
      <w:r>
        <w:rPr>
          <w:rFonts w:ascii="Times New Roman"/>
          <w:b w:val="false"/>
          <w:i w:val="false"/>
          <w:color w:val="000000"/>
          <w:sz w:val="28"/>
        </w:rPr>
        <w:t xml:space="preserve"> сәйкес кешенді экологиялық рұқсат алуға арналған өтінішпен бірге ұсынатын технологиялық нормативтердің жобасында қамтамасыз етіледі.</w:t>
      </w:r>
    </w:p>
    <w:bookmarkEnd w:id="15"/>
    <w:bookmarkStart w:name="z18" w:id="16"/>
    <w:p>
      <w:pPr>
        <w:spacing w:after="0"/>
        <w:ind w:left="0"/>
        <w:jc w:val="both"/>
      </w:pPr>
      <w:r>
        <w:rPr>
          <w:rFonts w:ascii="Times New Roman"/>
          <w:b w:val="false"/>
          <w:i w:val="false"/>
          <w:color w:val="000000"/>
          <w:sz w:val="28"/>
        </w:rPr>
        <w:t>
      7. Технологиялық нормалау объектілері үшін технологиялық нормативтердің жобасы:</w:t>
      </w:r>
    </w:p>
    <w:bookmarkEnd w:id="16"/>
    <w:p>
      <w:pPr>
        <w:spacing w:after="0"/>
        <w:ind w:left="0"/>
        <w:jc w:val="both"/>
      </w:pPr>
      <w:r>
        <w:rPr>
          <w:rFonts w:ascii="Times New Roman"/>
          <w:b w:val="false"/>
          <w:i w:val="false"/>
          <w:color w:val="000000"/>
          <w:sz w:val="28"/>
        </w:rPr>
        <w:t>
      технологиялық нормалау объектілері мен маркерлік ластағыш заттар айқындалатын бөлімді;</w:t>
      </w:r>
    </w:p>
    <w:p>
      <w:pPr>
        <w:spacing w:after="0"/>
        <w:ind w:left="0"/>
        <w:jc w:val="both"/>
      </w:pPr>
      <w:r>
        <w:rPr>
          <w:rFonts w:ascii="Times New Roman"/>
          <w:b w:val="false"/>
          <w:i w:val="false"/>
          <w:color w:val="000000"/>
          <w:sz w:val="28"/>
        </w:rPr>
        <w:t>
      технологиялық нормалау объектілеріне талдау жүргізілетін бөлімді;</w:t>
      </w:r>
    </w:p>
    <w:p>
      <w:pPr>
        <w:spacing w:after="0"/>
        <w:ind w:left="0"/>
        <w:jc w:val="both"/>
      </w:pPr>
      <w:r>
        <w:rPr>
          <w:rFonts w:ascii="Times New Roman"/>
          <w:b w:val="false"/>
          <w:i w:val="false"/>
          <w:color w:val="000000"/>
          <w:sz w:val="28"/>
        </w:rPr>
        <w:t>
      төгінділердің технологиялық нормативтері айқындалатын бөлімді қамтуға тиіс.</w:t>
      </w:r>
    </w:p>
    <w:bookmarkStart w:name="z19" w:id="17"/>
    <w:p>
      <w:pPr>
        <w:spacing w:after="0"/>
        <w:ind w:left="0"/>
        <w:jc w:val="both"/>
      </w:pPr>
      <w:r>
        <w:rPr>
          <w:rFonts w:ascii="Times New Roman"/>
          <w:b w:val="false"/>
          <w:i w:val="false"/>
          <w:color w:val="000000"/>
          <w:sz w:val="28"/>
        </w:rPr>
        <w:t>
      8. Технологиялық нормалау объектілерін және маркерлік заттарды айқындау өнімді өндіру, жұмыстарды орындау, қызметтерді көрсету жөніндегі технологиялық операцияларды (жобалық (конструкторлық) құжаттама, технологиялық регламенттер, пайдалану жөніндегі басшылықтар (нұсқаулықтар), схемалар, техникалық шарттар және басқа да пайдалану құжаттамасы) жүргізуді регламенттейтін қолда бар техникалық құжаттаманы талдау және оны ең үздік қолжетімді техникалар бойынша тиісті анықтамалықтармен және қорытындылармен салыстыру арқылы жүзеге асырылады.</w:t>
      </w:r>
    </w:p>
    <w:bookmarkEnd w:id="17"/>
    <w:bookmarkStart w:name="z20" w:id="18"/>
    <w:p>
      <w:pPr>
        <w:spacing w:after="0"/>
        <w:ind w:left="0"/>
        <w:jc w:val="both"/>
      </w:pPr>
      <w:r>
        <w:rPr>
          <w:rFonts w:ascii="Times New Roman"/>
          <w:b w:val="false"/>
          <w:i w:val="false"/>
          <w:color w:val="000000"/>
          <w:sz w:val="28"/>
        </w:rPr>
        <w:t>
      9. Мыналар:</w:t>
      </w:r>
    </w:p>
    <w:bookmarkEnd w:id="18"/>
    <w:p>
      <w:pPr>
        <w:spacing w:after="0"/>
        <w:ind w:left="0"/>
        <w:jc w:val="both"/>
      </w:pPr>
      <w:r>
        <w:rPr>
          <w:rFonts w:ascii="Times New Roman"/>
          <w:b w:val="false"/>
          <w:i w:val="false"/>
          <w:color w:val="000000"/>
          <w:sz w:val="28"/>
        </w:rPr>
        <w:t>
      технологиялық нормалаудың анықталған объектілері;</w:t>
      </w:r>
    </w:p>
    <w:p>
      <w:pPr>
        <w:spacing w:after="0"/>
        <w:ind w:left="0"/>
        <w:jc w:val="both"/>
      </w:pPr>
      <w:r>
        <w:rPr>
          <w:rFonts w:ascii="Times New Roman"/>
          <w:b w:val="false"/>
          <w:i w:val="false"/>
          <w:color w:val="000000"/>
          <w:sz w:val="28"/>
        </w:rPr>
        <w:t>
      технологиялық нормалау объектілерінде түзілетін маркерлік ластағыш заттар;</w:t>
      </w:r>
    </w:p>
    <w:p>
      <w:pPr>
        <w:spacing w:after="0"/>
        <w:ind w:left="0"/>
        <w:jc w:val="both"/>
      </w:pPr>
      <w:r>
        <w:rPr>
          <w:rFonts w:ascii="Times New Roman"/>
          <w:b w:val="false"/>
          <w:i w:val="false"/>
          <w:color w:val="000000"/>
          <w:sz w:val="28"/>
        </w:rPr>
        <w:t>
      технологиялық нормалаудың әрбір объектісі және тұтастай алғанда, объект үшін маркерлік ластағыш заттар эмиссияларының (төгінділерінің) деңгейлері технологиялық нормалау объектілерін және маркерлік заттарды айқындау нәтижесі болып табылады.</w:t>
      </w:r>
    </w:p>
    <w:bookmarkStart w:name="z21" w:id="19"/>
    <w:p>
      <w:pPr>
        <w:spacing w:after="0"/>
        <w:ind w:left="0"/>
        <w:jc w:val="both"/>
      </w:pPr>
      <w:r>
        <w:rPr>
          <w:rFonts w:ascii="Times New Roman"/>
          <w:b w:val="false"/>
          <w:i w:val="false"/>
          <w:color w:val="000000"/>
          <w:sz w:val="28"/>
        </w:rPr>
        <w:t>
      10. Технологиялық нормалау объектілерін талдау объектіде қолданылатын техникаларды, төгінділердің сандық және сапалық сипаттамаларын айқындауды қамтиды.</w:t>
      </w:r>
    </w:p>
    <w:bookmarkEnd w:id="19"/>
    <w:p>
      <w:pPr>
        <w:spacing w:after="0"/>
        <w:ind w:left="0"/>
        <w:jc w:val="both"/>
      </w:pPr>
      <w:r>
        <w:rPr>
          <w:rFonts w:ascii="Times New Roman"/>
          <w:b w:val="false"/>
          <w:i w:val="false"/>
          <w:color w:val="000000"/>
          <w:sz w:val="28"/>
        </w:rPr>
        <w:t>
      Қоршаған ортаға антропогендік әсер ететін жұмыс істеп тұрған объектілер үшін талдау техникалық құжаттаманы, бірнеше жыл, бірақ кешенді экологиялық рұқсат алуға арналған өтініш ұсынылатын жылдың алдындағы бес жылдан аспайтын мерзім үшін өндірістік экологиялық бақылау нәтижелерін пайдалана отырып жүргізіледі. Төгінділердің қолда бар көрсеткіштері оларды қолданудың нақты салалары бойынша ең үздік қолжетімді техникаларды қолдануға байланысты, ең үздік қолжетімді техникалар бойынша қорытындыларда белгіленген технологиялық көрсеткіштерге сәйкес келмеген кезде талдау шеңберінде экологиялық тиімділікті арттыру бағдарламасына сәйкес төгінділердің жоспарланып отырған көрсеткіштері қосымша айқындалады.</w:t>
      </w:r>
    </w:p>
    <w:p>
      <w:pPr>
        <w:spacing w:after="0"/>
        <w:ind w:left="0"/>
        <w:jc w:val="both"/>
      </w:pPr>
      <w:r>
        <w:rPr>
          <w:rFonts w:ascii="Times New Roman"/>
          <w:b w:val="false"/>
          <w:i w:val="false"/>
          <w:color w:val="000000"/>
          <w:sz w:val="28"/>
        </w:rPr>
        <w:t>
      Пайдалануға беру жоспарланып отырған қоршаған ортаға антропогендік әсер ететін объектілер үшін талдау объектіні салуға, реконструкциялауға және пайдалануға арналған жобалық құжаттаманың деректерін пайдалана отырып жүзеге асырылады.</w:t>
      </w:r>
    </w:p>
    <w:bookmarkStart w:name="z22" w:id="20"/>
    <w:p>
      <w:pPr>
        <w:spacing w:after="0"/>
        <w:ind w:left="0"/>
        <w:jc w:val="both"/>
      </w:pPr>
      <w:r>
        <w:rPr>
          <w:rFonts w:ascii="Times New Roman"/>
          <w:b w:val="false"/>
          <w:i w:val="false"/>
          <w:color w:val="000000"/>
          <w:sz w:val="28"/>
        </w:rPr>
        <w:t>
      11. Төгінділердің технологиялық нормативтерін айқындау тиісті негіздемелер мен есеп-қисаптарды қамтиды. Негіздемелер ең үздік қолжетімді техникалар бойынша анықтамалықтарда келтіріледі, есеп-қисаптар болжанатын өндірілетін өнімнің (тауардың), орындалатын жұмыстың, көрсетілетін қызметтің санына қарай жүргізіледі.</w:t>
      </w:r>
    </w:p>
    <w:bookmarkEnd w:id="20"/>
    <w:bookmarkStart w:name="z23" w:id="21"/>
    <w:p>
      <w:pPr>
        <w:spacing w:after="0"/>
        <w:ind w:left="0"/>
        <w:jc w:val="both"/>
      </w:pPr>
      <w:r>
        <w:rPr>
          <w:rFonts w:ascii="Times New Roman"/>
          <w:b w:val="false"/>
          <w:i w:val="false"/>
          <w:color w:val="000000"/>
          <w:sz w:val="28"/>
        </w:rPr>
        <w:t>
      12. Егер ластағыш заттарды төгу технологиялық нормалаудың бірнеше объектісінен сарқынды суларды жинағаннан, рекуперациялағаннан, тазартқаннан кейін жүзеге асырылатын болса, төгінділердің технологиялық нормативінің шамасын есептеу технологиялық нормалаудың әрбір осындай объектісі үшін жеке жүзеге асырылады.</w:t>
      </w:r>
    </w:p>
    <w:bookmarkEnd w:id="21"/>
    <w:bookmarkStart w:name="z24" w:id="22"/>
    <w:p>
      <w:pPr>
        <w:spacing w:after="0"/>
        <w:ind w:left="0"/>
        <w:jc w:val="both"/>
      </w:pPr>
      <w:r>
        <w:rPr>
          <w:rFonts w:ascii="Times New Roman"/>
          <w:b w:val="false"/>
          <w:i w:val="false"/>
          <w:color w:val="000000"/>
          <w:sz w:val="28"/>
        </w:rPr>
        <w:t xml:space="preserve">
      13. Жол берілетін антропогендік әсер ету нормативтерін белгілеу кезінде су объектілерінің сарқылуының алдын алу мақсатында осы Қағидаларға қосымшаға сәйкес су тұтыну мен су бұрудың үлестік нормативтерін "Су тұтынудың және су бұрудың үлестік нормаларын әзірлеу жөніндегі әдістемені бекіту туралы"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бұйрығына</w:t>
      </w:r>
      <w:r>
        <w:rPr>
          <w:rFonts w:ascii="Times New Roman"/>
          <w:b w:val="false"/>
          <w:i w:val="false"/>
          <w:color w:val="000000"/>
          <w:sz w:val="28"/>
        </w:rPr>
        <w:t xml:space="preserve"> сәйкес айқындау қажет.</w:t>
      </w:r>
    </w:p>
    <w:bookmarkEnd w:id="22"/>
    <w:bookmarkStart w:name="z25" w:id="23"/>
    <w:p>
      <w:pPr>
        <w:spacing w:after="0"/>
        <w:ind w:left="0"/>
        <w:jc w:val="left"/>
      </w:pPr>
      <w:r>
        <w:rPr>
          <w:rFonts w:ascii="Times New Roman"/>
          <w:b/>
          <w:i w:val="false"/>
          <w:color w:val="000000"/>
        </w:rPr>
        <w:t xml:space="preserve"> 3-тарау. Жерүсті суына жол берілетін физикалық әсер ету нормативтері</w:t>
      </w:r>
    </w:p>
    <w:bookmarkEnd w:id="23"/>
    <w:bookmarkStart w:name="z26" w:id="24"/>
    <w:p>
      <w:pPr>
        <w:spacing w:after="0"/>
        <w:ind w:left="0"/>
        <w:jc w:val="both"/>
      </w:pPr>
      <w:r>
        <w:rPr>
          <w:rFonts w:ascii="Times New Roman"/>
          <w:b w:val="false"/>
          <w:i w:val="false"/>
          <w:color w:val="000000"/>
          <w:sz w:val="28"/>
        </w:rPr>
        <w:t>
      14. Әрбір көз үшін жылудың және өзге де физикалық әсер етудің жерүсті суына жол берілетін әсер ету деңгейі түрінде белгіленетін, барлық басқа көздермен жиынтығында осындай көзден жағымсыз физикалық әсер ету суға шекті жол берілетін физикалық әсер етудің белгіленген деңгейлерінің артуына алып келмейтін экологиялық нормативтер жерүсті суына жол берілетін физикалық әсер ету нормативтері болып табылады.</w:t>
      </w:r>
    </w:p>
    <w:bookmarkEnd w:id="24"/>
    <w:bookmarkStart w:name="z27" w:id="25"/>
    <w:p>
      <w:pPr>
        <w:spacing w:after="0"/>
        <w:ind w:left="0"/>
        <w:jc w:val="both"/>
      </w:pPr>
      <w:r>
        <w:rPr>
          <w:rFonts w:ascii="Times New Roman"/>
          <w:b w:val="false"/>
          <w:i w:val="false"/>
          <w:color w:val="000000"/>
          <w:sz w:val="28"/>
        </w:rPr>
        <w:t>
      15. Жерүсті суына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End w:id="25"/>
    <w:bookmarkStart w:name="z28" w:id="26"/>
    <w:p>
      <w:pPr>
        <w:spacing w:after="0"/>
        <w:ind w:left="0"/>
        <w:jc w:val="both"/>
      </w:pPr>
      <w:r>
        <w:rPr>
          <w:rFonts w:ascii="Times New Roman"/>
          <w:b w:val="false"/>
          <w:i w:val="false"/>
          <w:color w:val="000000"/>
          <w:sz w:val="28"/>
        </w:rPr>
        <w:t>
      16. Жерүсті суларына жол берілетін физикалық әсер ету стандарттарын белгілеу кезінде жерүсті су объектісіндегі тиісті физикалық факторлардың деңгейі қоршаған ортаға әсер етудің қауіпсіз деңгейіне сәйкестік талаптары негізінде белгіленеді.</w:t>
      </w:r>
    </w:p>
    <w:bookmarkEnd w:id="26"/>
    <w:bookmarkStart w:name="z29" w:id="27"/>
    <w:p>
      <w:pPr>
        <w:spacing w:after="0"/>
        <w:ind w:left="0"/>
        <w:jc w:val="both"/>
      </w:pPr>
      <w:r>
        <w:rPr>
          <w:rFonts w:ascii="Times New Roman"/>
          <w:b w:val="false"/>
          <w:i w:val="false"/>
          <w:color w:val="000000"/>
          <w:sz w:val="28"/>
        </w:rPr>
        <w:t>
      17. Жол берілетін физикалық әсер ету нормативтері I және II санаттағы объектілер үшін, мынадай:</w:t>
      </w:r>
    </w:p>
    <w:bookmarkEnd w:id="27"/>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p>
      <w:pPr>
        <w:spacing w:after="0"/>
        <w:ind w:left="0"/>
        <w:jc w:val="both"/>
      </w:pPr>
      <w:r>
        <w:rPr>
          <w:rFonts w:ascii="Times New Roman"/>
          <w:b w:val="false"/>
          <w:i w:val="false"/>
          <w:color w:val="000000"/>
          <w:sz w:val="28"/>
        </w:rPr>
        <w:t xml:space="preserve">
      2)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w:t>
      </w:r>
    </w:p>
    <w:p>
      <w:pPr>
        <w:spacing w:after="0"/>
        <w:ind w:left="0"/>
        <w:jc w:val="both"/>
      </w:pPr>
      <w:r>
        <w:rPr>
          <w:rFonts w:ascii="Times New Roman"/>
          <w:b w:val="false"/>
          <w:i w:val="false"/>
          <w:color w:val="000000"/>
          <w:sz w:val="28"/>
        </w:rPr>
        <w:t>
      Жұмыс істеп тұрған объектілер үшін жол берілетін физикалық әсер ету нормативтері кешенді экологиялық рұқсат алуға арналған өтініште белгіленген деңгейлерде белгіленеді.</w:t>
      </w:r>
    </w:p>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жол берілетін физикалық әсер ету нормативтері ең үздік қолжетімді техникалар (олар болған кезде) бойынша қорытындыларда келтірілген тиісті технологиялық көрсеткіштерден аспайтын деңгейлерде белгіленеді.</w:t>
      </w:r>
    </w:p>
    <w:bookmarkStart w:name="z30" w:id="28"/>
    <w:p>
      <w:pPr>
        <w:spacing w:after="0"/>
        <w:ind w:left="0"/>
        <w:jc w:val="both"/>
      </w:pPr>
      <w:r>
        <w:rPr>
          <w:rFonts w:ascii="Times New Roman"/>
          <w:b w:val="false"/>
          <w:i w:val="false"/>
          <w:color w:val="000000"/>
          <w:sz w:val="28"/>
        </w:rPr>
        <w:t>
      18. Жол берілетін физикалық әсер ету нормативтерін оператор дербес не Қазақстан Республикасының заңнамасында белгіленген тәртіппен үшінші тұлғаларды тарта отырып айқындайды.</w:t>
      </w:r>
    </w:p>
    <w:bookmarkEnd w:id="28"/>
    <w:bookmarkStart w:name="z31" w:id="29"/>
    <w:p>
      <w:pPr>
        <w:spacing w:after="0"/>
        <w:ind w:left="0"/>
        <w:jc w:val="both"/>
      </w:pPr>
      <w:r>
        <w:rPr>
          <w:rFonts w:ascii="Times New Roman"/>
          <w:b w:val="false"/>
          <w:i w:val="false"/>
          <w:color w:val="000000"/>
          <w:sz w:val="28"/>
        </w:rPr>
        <w:t>
      19. Жылулық әсер ету қоршаған табиғи ортада алуан түрлі, ең алдымен, отынды жағуға байланысты жылу процестерінде бөлінетін жылудың таралу нәтижесі болып табылады.</w:t>
      </w:r>
    </w:p>
    <w:bookmarkEnd w:id="29"/>
    <w:bookmarkStart w:name="z32" w:id="30"/>
    <w:p>
      <w:pPr>
        <w:spacing w:after="0"/>
        <w:ind w:left="0"/>
        <w:jc w:val="both"/>
      </w:pPr>
      <w:r>
        <w:rPr>
          <w:rFonts w:ascii="Times New Roman"/>
          <w:b w:val="false"/>
          <w:i w:val="false"/>
          <w:color w:val="000000"/>
          <w:sz w:val="28"/>
        </w:rPr>
        <w:t>
      20. Жол берілетін физикалық әсер ету нормативтерін айқындау кезінде жылулық әсер ету бөлігінде жерүсті су температурасының жергілікті көтерілуінің мыналарға:</w:t>
      </w:r>
    </w:p>
    <w:bookmarkEnd w:id="30"/>
    <w:p>
      <w:pPr>
        <w:spacing w:after="0"/>
        <w:ind w:left="0"/>
        <w:jc w:val="both"/>
      </w:pPr>
      <w:r>
        <w:rPr>
          <w:rFonts w:ascii="Times New Roman"/>
          <w:b w:val="false"/>
          <w:i w:val="false"/>
          <w:color w:val="000000"/>
          <w:sz w:val="28"/>
        </w:rPr>
        <w:t>
      "стенотермді" су организмдері өмірлік циклдерінің сатылары үшін сыни мәндерден асып кетуге;</w:t>
      </w:r>
    </w:p>
    <w:p>
      <w:pPr>
        <w:spacing w:after="0"/>
        <w:ind w:left="0"/>
        <w:jc w:val="both"/>
      </w:pPr>
      <w:r>
        <w:rPr>
          <w:rFonts w:ascii="Times New Roman"/>
          <w:b w:val="false"/>
          <w:i w:val="false"/>
          <w:color w:val="000000"/>
          <w:sz w:val="28"/>
        </w:rPr>
        <w:t>
      организмдердің уытты заттарды (жерүсті суында болатын) қабылдағыштығының күшеюіне;</w:t>
      </w:r>
    </w:p>
    <w:p>
      <w:pPr>
        <w:spacing w:after="0"/>
        <w:ind w:left="0"/>
        <w:jc w:val="both"/>
      </w:pPr>
      <w:r>
        <w:rPr>
          <w:rFonts w:ascii="Times New Roman"/>
          <w:b w:val="false"/>
          <w:i w:val="false"/>
          <w:color w:val="000000"/>
          <w:sz w:val="28"/>
        </w:rPr>
        <w:t>
      жергілікті альгофлораның таксондарын ауыстыруға;</w:t>
      </w:r>
    </w:p>
    <w:p>
      <w:pPr>
        <w:spacing w:after="0"/>
        <w:ind w:left="0"/>
        <w:jc w:val="both"/>
      </w:pPr>
      <w:r>
        <w:rPr>
          <w:rFonts w:ascii="Times New Roman"/>
          <w:b w:val="false"/>
          <w:i w:val="false"/>
          <w:color w:val="000000"/>
          <w:sz w:val="28"/>
        </w:rPr>
        <w:t>
      судағы оттегі мөлшерінің азаюына әсері ескеріледі.</w:t>
      </w:r>
    </w:p>
    <w:bookmarkStart w:name="z33" w:id="31"/>
    <w:p>
      <w:pPr>
        <w:spacing w:after="0"/>
        <w:ind w:left="0"/>
        <w:jc w:val="both"/>
      </w:pPr>
      <w:r>
        <w:rPr>
          <w:rFonts w:ascii="Times New Roman"/>
          <w:b w:val="false"/>
          <w:i w:val="false"/>
          <w:color w:val="000000"/>
          <w:sz w:val="28"/>
        </w:rPr>
        <w:t>
      21. Судың булануы және (немесе) табиғи сүзілуі мақсатында пайдалануға арналған гидрооқшауланған жасанды су объектілері мен гидротехникалық құрылысжайлар үшін жол берілетін физикалық әсер ету нормативтері белгіленбейді.</w:t>
      </w:r>
    </w:p>
    <w:bookmarkEnd w:id="31"/>
    <w:bookmarkStart w:name="z34" w:id="32"/>
    <w:p>
      <w:pPr>
        <w:spacing w:after="0"/>
        <w:ind w:left="0"/>
        <w:jc w:val="left"/>
      </w:pPr>
      <w:r>
        <w:rPr>
          <w:rFonts w:ascii="Times New Roman"/>
          <w:b/>
          <w:i w:val="false"/>
          <w:color w:val="000000"/>
        </w:rPr>
        <w:t xml:space="preserve"> 4-тарау. Су объектілеріне шекті жол берілетін жағымсыз әсер ету нормативтері</w:t>
      </w:r>
    </w:p>
    <w:bookmarkEnd w:id="32"/>
    <w:bookmarkStart w:name="z35" w:id="33"/>
    <w:p>
      <w:pPr>
        <w:spacing w:after="0"/>
        <w:ind w:left="0"/>
        <w:jc w:val="both"/>
      </w:pPr>
      <w:r>
        <w:rPr>
          <w:rFonts w:ascii="Times New Roman"/>
          <w:b w:val="false"/>
          <w:i w:val="false"/>
          <w:color w:val="000000"/>
          <w:sz w:val="28"/>
        </w:rPr>
        <w:t>
      22. Су объектілеріне жол берілетін максималды теріс әсер ету стандарттары кумулятивті түрде қоршаған орта сапасының стандарттарына және/немесе қоршаған орта сапасына, су объектілерін ұтымды пайдалануға қол жеткізуге, сондай-ақ қолда бар ең жақсы техниканы енгізуге қойылатын талаптарға негізделген.</w:t>
      </w:r>
    </w:p>
    <w:bookmarkEnd w:id="33"/>
    <w:p>
      <w:pPr>
        <w:spacing w:after="0"/>
        <w:ind w:left="0"/>
        <w:jc w:val="both"/>
      </w:pPr>
      <w:r>
        <w:rPr>
          <w:rFonts w:ascii="Times New Roman"/>
          <w:b w:val="false"/>
          <w:i w:val="false"/>
          <w:color w:val="000000"/>
          <w:sz w:val="28"/>
        </w:rPr>
        <w:t>
      Су объектілеріне жол берілетін шекті теріс әсердің нормативтері Кодекстің және Әдістеменің 47-тармағының талаптарына сәйкес су объектілерін мақсатты пайдалану жағдайларын ескере отырып, химиялық және биологиялық көрсеткіштермен, физикалық факторлармен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