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5c0c" w14:textId="b425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2021 жылғы 29 шiлдедегi № 74 бұйрығы. Қазақстан Республикасының Әділет министрлігінде 2021 жылғы 29 шілдеде № 23764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"637. Уәкілетті органның ведомствосы тарифті есептеу кезінде пайданың жол берілетін деңгейін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сай Табиғи монополия субъектісі пайдасының жол берілетін деңгейін айқындау қағидаларына сәйкес айқындалатын тартылған активтердің реттелетін базасының шамасына пайда мөлшерлемесінің көбейтіндісі ретінде айқындайды.</w:t>
      </w:r>
    </w:p>
    <w:bookmarkEnd w:id="3"/>
    <w:p>
      <w:pPr>
        <w:spacing w:after="0"/>
        <w:ind w:left="0"/>
        <w:jc w:val="both"/>
      </w:pPr>
      <w:r>
        <w:rPr>
          <w:rFonts w:ascii="Times New Roman"/>
          <w:b w:val="false"/>
          <w:i w:val="false"/>
          <w:color w:val="000000"/>
          <w:sz w:val="28"/>
        </w:rPr>
        <w:t>
      Тарифке қосылатын пайда деңгейі дауыс беретін акцияларының (қатысу үлестерінің) елу және одан да көп пайызы ұлттық басқарушы холдингке тиесілі табиғи монополиялар субъектілерінің тарифтеріне қосылатын пайданы қоспағанда, инвестициялық бағдарламаны іске асыру үшін қажетті қаражатты ескере отырып шектеледі.</w:t>
      </w:r>
    </w:p>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ұлттық басқарушы холдингке тиесілі табиғи монополиялар субъектілерінің тарифіне қосылатын пайда деңгейі инвестициялық бағдарламаны іске асыруға және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табиғи монополия субъектісінің дамуы мен тиімді жұмыс істеуі үшін қажетті қаражат ескеріле отырып шектеледі.</w:t>
      </w:r>
    </w:p>
    <w:p>
      <w:pPr>
        <w:spacing w:after="0"/>
        <w:ind w:left="0"/>
        <w:jc w:val="both"/>
      </w:pPr>
      <w:r>
        <w:rPr>
          <w:rFonts w:ascii="Times New Roman"/>
          <w:b w:val="false"/>
          <w:i w:val="false"/>
          <w:color w:val="000000"/>
          <w:sz w:val="28"/>
        </w:rPr>
        <w:t>
      Инвестицияларды субъектілер меншікті және (немесе) қарыз қаражатесебінен жүзеге асырады. Меншікті қаражат көзі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bookmarkStart w:name="z6" w:id="4"/>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