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76b1" w14:textId="0547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бекіту туралы" Қазақстан Республикасы Индустрия және инфрақұрылымдық даму министрінің міндітін атқарушының 2020 жылғы 27 наурыздағы № 157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17 қыркүйектегі № 499 бұйрығы. Қазақстан Республикасының Әділет министрлігінде 2021 жылғы 23 қыркүйекте № 24474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бекіту туралы" Қазақстан Республикасы Индустрия және инфрақұрылымдық даму министрінің міндітін атқарушының 2020 жылғы 27 наурыздағы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20187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 бекітілсін";</w:t>
      </w:r>
    </w:p>
    <w:bookmarkEnd w:id="4"/>
    <w:bookmarkStart w:name="z7" w:id="5"/>
    <w:p>
      <w:pPr>
        <w:spacing w:after="0"/>
        <w:ind w:left="0"/>
        <w:jc w:val="both"/>
      </w:pPr>
      <w:r>
        <w:rPr>
          <w:rFonts w:ascii="Times New Roman"/>
          <w:b w:val="false"/>
          <w:i w:val="false"/>
          <w:color w:val="000000"/>
          <w:sz w:val="28"/>
        </w:rPr>
        <w:t xml:space="preserve">
      көрсетілген бекітілген бұйрықпен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0" w:id="7"/>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Субсидиялау сомасы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мөлшерін субсидиялау" республикалық бюджеттік бағдарламасы (бұдан әрі – Субсидиялау) бойынша көзделуге тиіс.</w:t>
      </w:r>
    </w:p>
    <w:bookmarkEnd w:id="8"/>
    <w:bookmarkStart w:name="z13" w:id="9"/>
    <w:p>
      <w:pPr>
        <w:spacing w:after="0"/>
        <w:ind w:left="0"/>
        <w:jc w:val="both"/>
      </w:pPr>
      <w:r>
        <w:rPr>
          <w:rFonts w:ascii="Times New Roman"/>
          <w:b w:val="false"/>
          <w:i w:val="false"/>
          <w:color w:val="000000"/>
          <w:sz w:val="28"/>
        </w:rPr>
        <w:t>
      Тасымалдаушының купондық сыйақы мөлшерлемесінің бір бөлігін төлеуге арналған шығыстары тасымалдаушының қаржылық жағдайын ескере отырып, жыл сайын қайта қаралады және тиісті жылға арналған республикалық бюджетте көзделген сома шегінде субсидияланады.</w:t>
      </w:r>
    </w:p>
    <w:bookmarkEnd w:id="9"/>
    <w:bookmarkStart w:name="z14" w:id="10"/>
    <w:p>
      <w:pPr>
        <w:spacing w:after="0"/>
        <w:ind w:left="0"/>
        <w:jc w:val="both"/>
      </w:pPr>
      <w:r>
        <w:rPr>
          <w:rFonts w:ascii="Times New Roman"/>
          <w:b w:val="false"/>
          <w:i w:val="false"/>
          <w:color w:val="000000"/>
          <w:sz w:val="28"/>
        </w:rPr>
        <w:t>
      Шарттың талаптарына сәйкес субсидиялар көлемдерін тиісті жылға арналған тиісті бюджетте көзделген қаражат шегінде қайта қарауға жол беріледі.".</w:t>
      </w:r>
    </w:p>
    <w:bookmarkEnd w:id="10"/>
    <w:bookmarkStart w:name="z15"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Индустрия және инфрақұрылымдық</w:t>
            </w:r>
            <w:r>
              <w:br/>
            </w:r>
            <w:r>
              <w:rPr>
                <w:rFonts w:ascii="Times New Roman"/>
                <w:b w:val="false"/>
                <w:i/>
                <w:color w:val="000000"/>
                <w:sz w:val="20"/>
              </w:rPr>
              <w:t>даму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