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29c8" w14:textId="0b12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 (ағзаның бөлігін) және (немесе) тіндерді (тіннің бөлігін) транспланттау кезінде иммунологиялық үйлесімділігін айқындау қағидаларын және HLA-зертханасының қызметі туралы ережені бекіту туралы" Қазақстан Республикасы Денсаулық сақтау министрінің міндетін атқарушының 2020 жылғы 27 қазандағы № ҚР ДСМ-159/2020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30 қыркүйектегі № КР ДСМ -101 бұйрығы. Қазақстан Республикасының Әділет министрлігінде 2021 жылғы 5 қазанда № 24615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"Ағзаларды (ағзаның бөлігін) және(немесе) тіндерді (тіннің бөлігін) транспланттау кезінде иммунологиялық үйлесімділігін айқындау қағидаларын және HLA-зертханасының қызметі туралы ережені бекіту туралы" Қазақстан Республикасы Денсаулық сақтау министрінің міндетін атқарушының 2020 жылғы 27 қазандағы № ҚР ДСМ-159/2020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21528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1-қосымшада бекітілген Ағзаларды (ағзаның бөлігін) және (немесе) тіндерді (тіннің бөлігін) трансплантаттау кезінде иммунологиялық үйлесімділігін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"17) республикалық трансплантаттаушы үйлестіруші – өңірлік трансплантаттаушы үйлестірушілердің жұмысын үйлестіруді және Қазақстан Республикасында трансплантататтау қызметінің мәселелері бойынша медициналық ұйымдардың тиімді ведомствоаралық өзара іс-қимылын қамтамасыз ететін, Үйлестіру орталығының штаттағы қызметкері болып табылатын дәрігер;</w:t>
      </w:r>
    </w:p>
    <w:bookmarkEnd w:id="3"/>
    <w:bookmarkStart w:name="z9" w:id="4"/>
    <w:p>
      <w:pPr>
        <w:spacing w:after="0"/>
        <w:ind w:left="0"/>
        <w:jc w:val="both"/>
      </w:pPr>
      <w:r>
        <w:rPr>
          <w:rFonts w:ascii="Times New Roman"/>
          <w:b w:val="false"/>
          <w:i w:val="false"/>
          <w:color w:val="000000"/>
          <w:sz w:val="28"/>
        </w:rPr>
        <w:t>
      18) өңірлік трансплантаттаушы үйлестіруші – облыс орталықтарында, республикалық маңызы бар қалаларда және астанада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Үйлестіру орталығының штаттағы қызметкері болып табылатын дәрігер;</w:t>
      </w:r>
    </w:p>
    <w:bookmarkEnd w:id="4"/>
    <w:bookmarkStart w:name="z10" w:id="5"/>
    <w:p>
      <w:pPr>
        <w:spacing w:after="0"/>
        <w:ind w:left="0"/>
        <w:jc w:val="both"/>
      </w:pPr>
      <w:r>
        <w:rPr>
          <w:rFonts w:ascii="Times New Roman"/>
          <w:b w:val="false"/>
          <w:i w:val="false"/>
          <w:color w:val="000000"/>
          <w:sz w:val="28"/>
        </w:rPr>
        <w:t>
      19) стационарлық трансплантаттаушы үйлестіруші – донорлық ұйымның штаттағы қызметкері болып табылатын және тиісті облыста, республикалық маңызы бар қалада, астанада трансплантаттау қызметін үйлестіру мәселелері бойынша өңірлік трансплантаттаушы үйлестірушіге бағынысты дәрігер;</w:t>
      </w:r>
    </w:p>
    <w:bookmarkEnd w:id="5"/>
    <w:bookmarkStart w:name="z11" w:id="6"/>
    <w:p>
      <w:pPr>
        <w:spacing w:after="0"/>
        <w:ind w:left="0"/>
        <w:jc w:val="both"/>
      </w:pPr>
      <w:r>
        <w:rPr>
          <w:rFonts w:ascii="Times New Roman"/>
          <w:b w:val="false"/>
          <w:i w:val="false"/>
          <w:color w:val="000000"/>
          <w:sz w:val="28"/>
        </w:rPr>
        <w:t>
      20) ағзалардың (ағза бөлігінің) және (немесе) тіндердің (тін бөлігінің) ықтимал реципиенттерінің тіркелімі (бұдан әрі – тіркелім) - ағзалардың (ағза бөлігінің) және (немесе) тіндердің (тін бөлігінің) ықтимал реципиенттерінің деректер базасы;</w:t>
      </w:r>
    </w:p>
    <w:bookmarkEnd w:id="6"/>
    <w:bookmarkStart w:name="z12" w:id="7"/>
    <w:p>
      <w:pPr>
        <w:spacing w:after="0"/>
        <w:ind w:left="0"/>
        <w:jc w:val="both"/>
      </w:pPr>
      <w:r>
        <w:rPr>
          <w:rFonts w:ascii="Times New Roman"/>
          <w:b w:val="false"/>
          <w:i w:val="false"/>
          <w:color w:val="000000"/>
          <w:sz w:val="28"/>
        </w:rPr>
        <w:t>
      21)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 Ағзаларды (ағзаның бөлігін) және (немесе) тіндерді (тіннің бөлігін) трансплантаттау кезінде тіндердің иммунологиялық үйлесімділігін айқындау:</w:t>
      </w:r>
    </w:p>
    <w:bookmarkEnd w:id="8"/>
    <w:bookmarkStart w:name="z15" w:id="9"/>
    <w:p>
      <w:pPr>
        <w:spacing w:after="0"/>
        <w:ind w:left="0"/>
        <w:jc w:val="both"/>
      </w:pPr>
      <w:r>
        <w:rPr>
          <w:rFonts w:ascii="Times New Roman"/>
          <w:b w:val="false"/>
          <w:i w:val="false"/>
          <w:color w:val="000000"/>
          <w:sz w:val="28"/>
        </w:rPr>
        <w:t>
      1) тірі кезінде және (немесе) қайтыс болғаннан кейінгі донордан ағзаларды (ағзаның бөлігін) трансплантаттау кезінде ықтимал реципиенттер мен олардың донорлары үшін;</w:t>
      </w:r>
    </w:p>
    <w:bookmarkEnd w:id="9"/>
    <w:bookmarkStart w:name="z16" w:id="10"/>
    <w:p>
      <w:pPr>
        <w:spacing w:after="0"/>
        <w:ind w:left="0"/>
        <w:jc w:val="both"/>
      </w:pPr>
      <w:r>
        <w:rPr>
          <w:rFonts w:ascii="Times New Roman"/>
          <w:b w:val="false"/>
          <w:i w:val="false"/>
          <w:color w:val="000000"/>
          <w:sz w:val="28"/>
        </w:rPr>
        <w:t>
      2) тірі кезінде доноры жоқ және тіркелімге енгізілген ықтимал реципиенттер үшін;</w:t>
      </w:r>
    </w:p>
    <w:bookmarkEnd w:id="10"/>
    <w:bookmarkStart w:name="z17" w:id="11"/>
    <w:p>
      <w:pPr>
        <w:spacing w:after="0"/>
        <w:ind w:left="0"/>
        <w:jc w:val="both"/>
      </w:pPr>
      <w:r>
        <w:rPr>
          <w:rFonts w:ascii="Times New Roman"/>
          <w:b w:val="false"/>
          <w:i w:val="false"/>
          <w:color w:val="000000"/>
          <w:sz w:val="28"/>
        </w:rPr>
        <w:t>
      3) гемопоэздік дің жасушаларын трансплантаттау кезінде реципиенттер мен донорлар үшін өткізіледі.";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"13. Ағзалық трансплантаттау кезінде донор мен реципиенттің үйлесімділігі туралы мәселені түпкілікті шешу үшін реципиенттер мен донорлардың барлық жұптары үшін "кросс-матч" үйлесімділік сынамасы жүргізіледі.</w:t>
      </w:r>
    </w:p>
    <w:bookmarkEnd w:id="12"/>
    <w:bookmarkStart w:name="z20" w:id="13"/>
    <w:p>
      <w:pPr>
        <w:spacing w:after="0"/>
        <w:ind w:left="0"/>
        <w:jc w:val="both"/>
      </w:pPr>
      <w:r>
        <w:rPr>
          <w:rFonts w:ascii="Times New Roman"/>
          <w:b w:val="false"/>
          <w:i w:val="false"/>
          <w:color w:val="000000"/>
          <w:sz w:val="28"/>
        </w:rPr>
        <w:t>
      "Кросс-матч" үйлесімділік сынамасы лимфоцитотоксикалық тесттің негізінде серологиялық әдіспен жүргізіледі. Серологиялық әдіспен алынған нәтижелерді растау үшін ағынды цитометрия әдісімен үйлесімділік сынамасы жүргізледі.</w:t>
      </w:r>
    </w:p>
    <w:bookmarkEnd w:id="13"/>
    <w:bookmarkStart w:name="z21" w:id="14"/>
    <w:p>
      <w:pPr>
        <w:spacing w:after="0"/>
        <w:ind w:left="0"/>
        <w:jc w:val="both"/>
      </w:pPr>
      <w:r>
        <w:rPr>
          <w:rFonts w:ascii="Times New Roman"/>
          <w:b w:val="false"/>
          <w:i w:val="false"/>
          <w:color w:val="000000"/>
          <w:sz w:val="28"/>
        </w:rPr>
        <w:t>
      Бастапқы "кросс-матч" тірі кезіндегі донорлар қатарынан донорды іріктеу кезеңінде үйлесімді туыс донорларды анықтау үшін, сондай-ақ қайтыс болғаннан кейінгі донордан трансплантаттау кезінде реципиенттердің мұрағатталған сарысуымен жүргізіледі.</w:t>
      </w:r>
    </w:p>
    <w:bookmarkEnd w:id="14"/>
    <w:bookmarkStart w:name="z22" w:id="15"/>
    <w:p>
      <w:pPr>
        <w:spacing w:after="0"/>
        <w:ind w:left="0"/>
        <w:jc w:val="both"/>
      </w:pPr>
      <w:r>
        <w:rPr>
          <w:rFonts w:ascii="Times New Roman"/>
          <w:b w:val="false"/>
          <w:i w:val="false"/>
          <w:color w:val="000000"/>
          <w:sz w:val="28"/>
        </w:rPr>
        <w:t>
      Операция алдында операциядан 48 сағат бұрын алынған сарысумен өзекті "кросс-матч" жүргізіледі және тірі кездегі және(немесе) қайтыс болғаннан кейінгі донорлар қатарынан іріктеу үшін міндетті болып табылады.</w:t>
      </w:r>
    </w:p>
    <w:bookmarkEnd w:id="15"/>
    <w:bookmarkStart w:name="z23" w:id="16"/>
    <w:p>
      <w:pPr>
        <w:spacing w:after="0"/>
        <w:ind w:left="0"/>
        <w:jc w:val="both"/>
      </w:pPr>
      <w:r>
        <w:rPr>
          <w:rFonts w:ascii="Times New Roman"/>
          <w:b w:val="false"/>
          <w:i w:val="false"/>
          <w:color w:val="000000"/>
          <w:sz w:val="28"/>
        </w:rPr>
        <w:t>
      Донор мен реципиенттің болжамды үйлесімділігін анықтау үшін трансплантолог дәрігер донор мен реципиентті типтеу нәтижелерін HLA-антиденелерді анықтау нәтижелерін және "кросс-матч" үйлесімділігі сынамасының нәтижесін ескере отырып, салыстыруды жүргізеді.</w:t>
      </w:r>
    </w:p>
    <w:bookmarkEnd w:id="16"/>
    <w:bookmarkStart w:name="z24" w:id="17"/>
    <w:p>
      <w:pPr>
        <w:spacing w:after="0"/>
        <w:ind w:left="0"/>
        <w:jc w:val="both"/>
      </w:pPr>
      <w:r>
        <w:rPr>
          <w:rFonts w:ascii="Times New Roman"/>
          <w:b w:val="false"/>
          <w:i w:val="false"/>
          <w:color w:val="000000"/>
          <w:sz w:val="28"/>
        </w:rPr>
        <w:t>
      Ағзаны трансплантаттау өзекті "кросс-матч" сынамасының теріс нәтижесінің негізінде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"15. Қайтыс болғаннан кейінгі немесе тірі кезіндегі донордан ағзаны (ағзаның бөлігін) трансплантаттауды бастан өткерген реципиенттер бейінді маманның немесе МСАК маманының жолдамасы бойынша мынадай жиілікпен HLA-антиденелердің бар-жоғына флуоресценттік цитометрия әдісімен тексеріледі:</w:t>
      </w:r>
    </w:p>
    <w:bookmarkEnd w:id="18"/>
    <w:bookmarkStart w:name="z27" w:id="19"/>
    <w:p>
      <w:pPr>
        <w:spacing w:after="0"/>
        <w:ind w:left="0"/>
        <w:jc w:val="both"/>
      </w:pPr>
      <w:r>
        <w:rPr>
          <w:rFonts w:ascii="Times New Roman"/>
          <w:b w:val="false"/>
          <w:i w:val="false"/>
          <w:color w:val="000000"/>
          <w:sz w:val="28"/>
        </w:rPr>
        <w:t>
      трансплантаттаудан кейінгі 14-ші күні;</w:t>
      </w:r>
    </w:p>
    <w:bookmarkEnd w:id="19"/>
    <w:bookmarkStart w:name="z28" w:id="20"/>
    <w:p>
      <w:pPr>
        <w:spacing w:after="0"/>
        <w:ind w:left="0"/>
        <w:jc w:val="both"/>
      </w:pPr>
      <w:r>
        <w:rPr>
          <w:rFonts w:ascii="Times New Roman"/>
          <w:b w:val="false"/>
          <w:i w:val="false"/>
          <w:color w:val="000000"/>
          <w:sz w:val="28"/>
        </w:rPr>
        <w:t>
      трансплантаттаудан кейінгі бір айдан соң;</w:t>
      </w:r>
    </w:p>
    <w:bookmarkEnd w:id="20"/>
    <w:bookmarkStart w:name="z29" w:id="21"/>
    <w:p>
      <w:pPr>
        <w:spacing w:after="0"/>
        <w:ind w:left="0"/>
        <w:jc w:val="both"/>
      </w:pPr>
      <w:r>
        <w:rPr>
          <w:rFonts w:ascii="Times New Roman"/>
          <w:b w:val="false"/>
          <w:i w:val="false"/>
          <w:color w:val="000000"/>
          <w:sz w:val="28"/>
        </w:rPr>
        <w:t>
      бірінші жылы трансплантаттаудан кейін әрбір 3 ай сайын;</w:t>
      </w:r>
    </w:p>
    <w:bookmarkEnd w:id="21"/>
    <w:bookmarkStart w:name="z30" w:id="22"/>
    <w:p>
      <w:pPr>
        <w:spacing w:after="0"/>
        <w:ind w:left="0"/>
        <w:jc w:val="both"/>
      </w:pPr>
      <w:r>
        <w:rPr>
          <w:rFonts w:ascii="Times New Roman"/>
          <w:b w:val="false"/>
          <w:i w:val="false"/>
          <w:color w:val="000000"/>
          <w:sz w:val="28"/>
        </w:rPr>
        <w:t>
      теріс мәртебе кезінде жылына 1 рет;</w:t>
      </w:r>
    </w:p>
    <w:bookmarkEnd w:id="22"/>
    <w:bookmarkStart w:name="z31" w:id="23"/>
    <w:p>
      <w:pPr>
        <w:spacing w:after="0"/>
        <w:ind w:left="0"/>
        <w:jc w:val="both"/>
      </w:pPr>
      <w:r>
        <w:rPr>
          <w:rFonts w:ascii="Times New Roman"/>
          <w:b w:val="false"/>
          <w:i w:val="false"/>
          <w:color w:val="000000"/>
          <w:sz w:val="28"/>
        </w:rPr>
        <w:t>
      оң мәртебе кезінде әрбір 3 ай сайын.</w:t>
      </w:r>
    </w:p>
    <w:bookmarkEnd w:id="23"/>
    <w:bookmarkStart w:name="z32" w:id="24"/>
    <w:p>
      <w:pPr>
        <w:spacing w:after="0"/>
        <w:ind w:left="0"/>
        <w:jc w:val="both"/>
      </w:pPr>
      <w:r>
        <w:rPr>
          <w:rFonts w:ascii="Times New Roman"/>
          <w:b w:val="false"/>
          <w:i w:val="false"/>
          <w:color w:val="000000"/>
          <w:sz w:val="28"/>
        </w:rPr>
        <w:t>
      Донор-ерекше антиденелерін белглеу үшін трансплантаттау орталығының трансплантолог дәрігерінің, бейінді маманның немесе МСАК маманының жолдамасы бойынша донор-ерекше антиденелерін диагностикалау үшін HLA-A, B, C, DRB1, DQB1, DQA, DPВ, DPА локустары бойынша донорды қосымша типтеу жүргізіледі. Типтеу SSP немесе SSO молекулалық-генетикалық әдісімен төмен рұқсат етілген деңгейде жүргізіледі. Төмен рұқсат етілген деңгейде алынған нәтижелерді растау қажет болған кезде жғары деңгейде (SBT) типтеу жүргізіледі.</w:t>
      </w:r>
    </w:p>
    <w:bookmarkEnd w:id="24"/>
    <w:bookmarkStart w:name="z33" w:id="25"/>
    <w:p>
      <w:pPr>
        <w:spacing w:after="0"/>
        <w:ind w:left="0"/>
        <w:jc w:val="both"/>
      </w:pPr>
      <w:r>
        <w:rPr>
          <w:rFonts w:ascii="Times New Roman"/>
          <w:b w:val="false"/>
          <w:i w:val="false"/>
          <w:color w:val="000000"/>
          <w:sz w:val="28"/>
        </w:rPr>
        <w:t>
      Донор-ерекше антиденелердің бар болуы трансплантатты қабылдамаудың ерте маркері болып табылады. Алынған нәтижелерде донор-ерекше антиденелер болған кезде деңгейді имуносупрессивтік препараттармен түзету жүргізіледі.";</w:t>
      </w:r>
    </w:p>
    <w:bookmarkEnd w:id="25"/>
    <w:bookmarkStart w:name="z34" w:id="26"/>
    <w:p>
      <w:pPr>
        <w:spacing w:after="0"/>
        <w:ind w:left="0"/>
        <w:jc w:val="both"/>
      </w:pPr>
      <w:r>
        <w:rPr>
          <w:rFonts w:ascii="Times New Roman"/>
          <w:b w:val="false"/>
          <w:i w:val="false"/>
          <w:color w:val="000000"/>
          <w:sz w:val="28"/>
        </w:rPr>
        <w:t xml:space="preserve">
      2-параграфтың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6"/>
    <w:bookmarkStart w:name="z35" w:id="27"/>
    <w:p>
      <w:pPr>
        <w:spacing w:after="0"/>
        <w:ind w:left="0"/>
        <w:jc w:val="both"/>
      </w:pPr>
      <w:r>
        <w:rPr>
          <w:rFonts w:ascii="Times New Roman"/>
          <w:b w:val="false"/>
          <w:i w:val="false"/>
          <w:color w:val="000000"/>
          <w:sz w:val="28"/>
        </w:rPr>
        <w:t>
      "2-параграф. Тіркелімге енгізілген ықтимал реципиенттердің иммунологиялық үйлесімділігін айқындау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37" w:id="28"/>
    <w:p>
      <w:pPr>
        <w:spacing w:after="0"/>
        <w:ind w:left="0"/>
        <w:jc w:val="both"/>
      </w:pPr>
      <w:r>
        <w:rPr>
          <w:rFonts w:ascii="Times New Roman"/>
          <w:b w:val="false"/>
          <w:i w:val="false"/>
          <w:color w:val="000000"/>
          <w:sz w:val="28"/>
        </w:rPr>
        <w:t>
      "16. Тіркелімге енгізілген ықтимал реципиенттердің иммунологиялық үйлесімділігін айқындау үшін HLA-зерттеу үшін қанды алу бейінді маманның немесе МСАК маманы жолдамасының негізінде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"17. Тіркелімге енгізілген ықтимал реципиенттер үшін HLA-фенотипі анықталады. Реципиенттерді типтеу І кластағы А және В локустары және ІІ кластағы DRB1 локусы бойынша, төмен рұқсат етілген деңгейде (SSP немесе SSO) молекулалық-генетикалық әдіспен жүргізіледі. Тірі кезіндегі донор пайда болған кезде тіркелімдегі ықтимал реципиентке қанның жаңа үлгісінен растайтын титеу жүргізіледі.</w:t>
      </w:r>
    </w:p>
    <w:bookmarkEnd w:id="29"/>
    <w:bookmarkStart w:name="z40" w:id="30"/>
    <w:p>
      <w:pPr>
        <w:spacing w:after="0"/>
        <w:ind w:left="0"/>
        <w:jc w:val="both"/>
      </w:pPr>
      <w:r>
        <w:rPr>
          <w:rFonts w:ascii="Times New Roman"/>
          <w:b w:val="false"/>
          <w:i w:val="false"/>
          <w:color w:val="000000"/>
          <w:sz w:val="28"/>
        </w:rPr>
        <w:t>
      Қайтыс болғаннан кейінгі донор үшін республикалық трансплантаттаушы үйлестірушінің жолдамасы бойынша HLA-А, В және DRB1 локустары бойынша төмен рұқсат етілген деңгейде (SSP немесе SSO) молекулалық-генетикалық әдіспен типтеу жүргізіледі.</w:t>
      </w:r>
    </w:p>
    <w:bookmarkEnd w:id="30"/>
    <w:bookmarkStart w:name="z41" w:id="31"/>
    <w:p>
      <w:pPr>
        <w:spacing w:after="0"/>
        <w:ind w:left="0"/>
        <w:jc w:val="both"/>
      </w:pPr>
      <w:r>
        <w:rPr>
          <w:rFonts w:ascii="Times New Roman"/>
          <w:b w:val="false"/>
          <w:i w:val="false"/>
          <w:color w:val="000000"/>
          <w:sz w:val="28"/>
        </w:rPr>
        <w:t>
      Реципиенттің HLA-фенотипі туралы ақпарат медициналық ақпараттық жүйеге енгізіледі.";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"18. Тіркелімге енгізу немесе туыс трансплантаттауға дайындау кезінде ағзаны (ағзаның бөлігін) трансплантаттауды қажет ететін ықтимал реципиенттерге трансплантолог дәрігердің немесе бейінді маманның (ол болмаған кезде, учаскелік терапевт немесе жалпы практика дәрігерінің) жолдамасы бойынша лейкоциттік антиденелердің бар болуын анықтау жүргізіледі.</w:t>
      </w:r>
    </w:p>
    <w:bookmarkEnd w:id="32"/>
    <w:bookmarkStart w:name="z44" w:id="33"/>
    <w:p>
      <w:pPr>
        <w:spacing w:after="0"/>
        <w:ind w:left="0"/>
        <w:jc w:val="both"/>
      </w:pPr>
      <w:r>
        <w:rPr>
          <w:rFonts w:ascii="Times New Roman"/>
          <w:b w:val="false"/>
          <w:i w:val="false"/>
          <w:color w:val="000000"/>
          <w:sz w:val="28"/>
        </w:rPr>
        <w:t>
      Тіркелімге енгізілген адамдар үшін HLA-антиденелерінің бар-жоғы одан әрі үш айда бір рет жиілігімен анықталады. Антиденелер болған кезде олардың деңгейі мен ерекшелігі анықталады. HLA-антиденелерінің деңгейі пайызбен көрсетіледі. HLA-антиденелердің бар болуын анықтау ИФТ (Elіsa test) немесе флуоресцентті цитометрия әдісімен жүргізіледі. Күрделі жағдайларда лейкоциттік антиденелермен сенсибилизацияны бағалау көрсетілген әдістердің жиынтығымен бағаланады.</w:t>
      </w:r>
    </w:p>
    <w:bookmarkEnd w:id="33"/>
    <w:bookmarkStart w:name="z45" w:id="34"/>
    <w:p>
      <w:pPr>
        <w:spacing w:after="0"/>
        <w:ind w:left="0"/>
        <w:jc w:val="both"/>
      </w:pPr>
      <w:r>
        <w:rPr>
          <w:rFonts w:ascii="Times New Roman"/>
          <w:b w:val="false"/>
          <w:i w:val="false"/>
          <w:color w:val="000000"/>
          <w:sz w:val="28"/>
        </w:rPr>
        <w:t>
      Пайызбен көрсетілген сенсибилизация деңгейі туралы ақпарат медициналық ақпараттық жүйеге енгізіледі.";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"Қайтыс болғаннан кейінгі донор анықталған кезде республикалық үйлестірушінің жолдамасы бойынша медициналық ақпараттық жүйе іріктеген ықтимал реципиенттер қанының үлгісімен "кросс-матч" бастапқы үйлесімділік сынамасы жүргізіледі.</w:t>
      </w:r>
    </w:p>
    <w:bookmarkEnd w:id="35"/>
    <w:bookmarkStart w:name="z48" w:id="36"/>
    <w:p>
      <w:pPr>
        <w:spacing w:after="0"/>
        <w:ind w:left="0"/>
        <w:jc w:val="both"/>
      </w:pPr>
      <w:r>
        <w:rPr>
          <w:rFonts w:ascii="Times New Roman"/>
          <w:b w:val="false"/>
          <w:i w:val="false"/>
          <w:color w:val="000000"/>
          <w:sz w:val="28"/>
        </w:rPr>
        <w:t>
      Өзекті "кросс-матч" үйлесімділік сынамасы трансплантаттау орталығының трансплантолог дәрігерінің жолдамасы бойынша жүргізіледі. Ағзаны трансплантаттау өзекті "кросс-матч" сынамасының теріс нәтижесі негізінде жүзеге асырылады.";</w:t>
      </w:r>
    </w:p>
    <w:bookmarkEnd w:id="36"/>
    <w:bookmarkStart w:name="z49" w:id="37"/>
    <w:p>
      <w:pPr>
        <w:spacing w:after="0"/>
        <w:ind w:left="0"/>
        <w:jc w:val="both"/>
      </w:pPr>
      <w:r>
        <w:rPr>
          <w:rFonts w:ascii="Times New Roman"/>
          <w:b w:val="false"/>
          <w:i w:val="false"/>
          <w:color w:val="000000"/>
          <w:sz w:val="28"/>
        </w:rPr>
        <w:t xml:space="preserve">
      Көрсетілген Қағидаларға қосымшамен бекітілген ағзаларды (ағзаның бөлігін) және (немесе) тіндерді (тіннің бөлігін) транспланттау кезінде тіндердің иммунологиялық үйлесімділігін айқындауға арналған зерттеулер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мынадай редакцияда жазылсын.</w:t>
      </w:r>
    </w:p>
    <w:bookmarkEnd w:id="37"/>
    <w:bookmarkStart w:name="z50" w:id="3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8"/>
    <w:bookmarkStart w:name="z51"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52" w:id="40"/>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0"/>
    <w:bookmarkStart w:name="z53" w:id="4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тармақшаларында көзделген іс-шаралардың орындалуы туралы мәліметтерді ұсынуды қамтамасыз етсін.</w:t>
      </w:r>
    </w:p>
    <w:bookmarkEnd w:id="41"/>
    <w:bookmarkStart w:name="z54"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2"/>
    <w:bookmarkStart w:name="z55"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30 қыркүйектегі</w:t>
            </w:r>
            <w:r>
              <w:br/>
            </w:r>
            <w:r>
              <w:rPr>
                <w:rFonts w:ascii="Times New Roman"/>
                <w:b w:val="false"/>
                <w:i w:val="false"/>
                <w:color w:val="000000"/>
                <w:sz w:val="20"/>
              </w:rPr>
              <w:t>№ КР ДСМ -101 бұйрыққа</w:t>
            </w:r>
            <w:r>
              <w:br/>
            </w:r>
            <w:r>
              <w:rPr>
                <w:rFonts w:ascii="Times New Roman"/>
                <w:b w:val="false"/>
                <w:i w:val="false"/>
                <w:color w:val="000000"/>
                <w:sz w:val="20"/>
              </w:rPr>
              <w:t>қосымша</w:t>
            </w:r>
            <w:r>
              <w:br/>
            </w:r>
            <w:r>
              <w:rPr>
                <w:rFonts w:ascii="Times New Roman"/>
                <w:b w:val="false"/>
                <w:i w:val="false"/>
                <w:color w:val="000000"/>
                <w:sz w:val="20"/>
              </w:rPr>
              <w:t>Ағзаларды (ағзаның бөлігін)</w:t>
            </w:r>
            <w:r>
              <w:br/>
            </w:r>
            <w:r>
              <w:rPr>
                <w:rFonts w:ascii="Times New Roman"/>
                <w:b w:val="false"/>
                <w:i w:val="false"/>
                <w:color w:val="000000"/>
                <w:sz w:val="20"/>
              </w:rPr>
              <w:t>және(немесе) тіндерді (тіннің</w:t>
            </w:r>
            <w:r>
              <w:br/>
            </w:r>
            <w:r>
              <w:rPr>
                <w:rFonts w:ascii="Times New Roman"/>
                <w:b w:val="false"/>
                <w:i w:val="false"/>
                <w:color w:val="000000"/>
                <w:sz w:val="20"/>
              </w:rPr>
              <w:t>бөлігін) транспланттау кезінде</w:t>
            </w:r>
            <w:r>
              <w:br/>
            </w:r>
            <w:r>
              <w:rPr>
                <w:rFonts w:ascii="Times New Roman"/>
                <w:b w:val="false"/>
                <w:i w:val="false"/>
                <w:color w:val="000000"/>
                <w:sz w:val="20"/>
              </w:rPr>
              <w:t>иммунологиялық үйлесімділігін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bookmarkStart w:name="z58" w:id="44"/>
    <w:p>
      <w:pPr>
        <w:spacing w:after="0"/>
        <w:ind w:left="0"/>
        <w:jc w:val="left"/>
      </w:pPr>
      <w:r>
        <w:rPr>
          <w:rFonts w:ascii="Times New Roman"/>
          <w:b/>
          <w:i w:val="false"/>
          <w:color w:val="000000"/>
        </w:rPr>
        <w:t xml:space="preserve"> Ағзаларды (ағзаның бөлігін) және(немесе) тіндерді (тіннің бөлігін) транспланттау кезінде иммунологиялық үйлесімділігін айқындауға арналған зерттеулер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0"/>
        <w:gridCol w:w="1154"/>
        <w:gridCol w:w="709"/>
        <w:gridCol w:w="676"/>
        <w:gridCol w:w="301"/>
      </w:tblGrid>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және (немесе) донор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мөлшері (мл)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 толтырғыштың болуы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тірі кезідегі және(немесе) қайтыс болғаннан кейінгі донордан транспланттау кезінде реципиенттер мен донорларына иммунологиялық үйлесімділікті жүргізу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серологиялық әдіспен фенотиптеу (І кластағы антигендер - А,В,С локустары) төмен рұқсат етілген деңгей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литии-гепарин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матч" үйлесімділік сынамасын жасау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литии-гепарин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SSP әдісімен генотиптеу І және ІІ кластағы антигендер А, В, DRB1 локустары, орта рұқсат етілген деңгей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үлгісіндегі HLA-антиденелердің сенсибилизация деңгейін ИФТ әдісімен анықтау (Elіsa test)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 HLA-антиденелерінің бар-жоғын ағынды 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 1 және 2 кластағы HLA-антиденелерінің ерекшелігін ағынды 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HLA-антиденелерімен сенсибилизация деңгейін ағынды цитометрия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HLA-А, В, С, DRB1, DQB1/DQА1, DPB1/DPA1 гендері бойынша ПТР-SSP әдісімен генотиптеу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және (немесе) донор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Тромбоциттерге рефрактерлігі бар реципиенттерге тромбоциттерді лейкоциттік антигендер бойынша жеке іріктеу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"кросс-матч" лимфоцитоксикалық тестінің негізінде жеке іріктеу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компоненттерінің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литии-гепарин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туыс донорлардан транспланттау кезінде реципиенттер мен донорлардың иммунологиялық үлесімділігін анықтау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SSP әдісімен генотиптеу І және ІІ кластағы антигендер А, В, DRB1, DQB1 локустары, орта рұқсат етілген деңгей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Гаплотиптерге бөле отырып, SBT (Hіgh resolutіon) әдісімен А,В,С,DRB1, DRQB1 локустары бойынша басты гистологиялық үйлесімділік кешенінің гендерін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NGS әдісімен жоғары рұқсат етілген деңгейде HLA - А, В, С, DRB1, DQA1/DQB1, DPB1/DPA1 гендерін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 донорларының ұлттық тіркеліміне және кіндік қан банкілеріне енгізілген әлеуетті гемопоэздік дің жасушалары донорларының иммунологиялық үйлесімділігін айқындау</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Гаплотиптерге бөлместен (жоғары рұқсат етілген деңгейде), HLA-А, В, С, DRB1, DQB1 гендерін молекулалық-генетикалық әдіспен типтеу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тіркеліміне кіру үшін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NGS әдісімен жоғары рұқсат етілген деңгейде HLA - А, В, С, DRB1, DQA1/DQB1, DPB1/DPA1 гендерін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SSP әдісімен генотиптеу І және ІІ кластағы антигендер А, В, DRB1 локустары, орта рұқсат етілген деңгейде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 үлгілері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енгізілетін реципиенттерге иммунологиялық үйлесімділікті жүргізу</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 В, DR локустарының антигендерін ағынды цитофлуорометрия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және (немесе) донор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 HLA-антиденелеінің бар-жоғын ағынды 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HLA-антиденелерімен сенсибилизациясының пайызын ағынды цитометрия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(сүйек кемігін) транспланттаудан кейін реципиенттердегі донорлық химеримизмді анықтау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транспланттаудан кейін пациентте донорлық химеримизмді каппиллярлық секвенирлеу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(транспланттаудан бұрын және транспланттаудан кейінгі қан үлгісі)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