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1461" w14:textId="6c11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 қарашадағы № 96 бұйрығы. Қазақстан Республикасының Әділет министрлігінде 2021 жылғы 5 қарашада № 25011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10685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13-бабының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стратегияларының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Акционері мемлекет болып табылатын ұлттық басқарушы холдингтердің, ұлттық холдингтердің, ұлттық компаниялардың даму стратегияларының орындалуы жөніндегі есептерді әзірлеу және ұсыну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акционері мемлекет болып табылатын ұлттық басқарушы холдингтердің, ұлттық холдингтердің, ұлттық компаниялардың даму стратегияларының орындалуы жөніндегі есептерді (бұдан әрі – Даму стратегиясының орындалуы жөніндегі есеп) әзірлеу және ұсыну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мынадай редакцияда жазылсын:</w:t>
      </w:r>
    </w:p>
    <w:bookmarkStart w:name="z9" w:id="5"/>
    <w:p>
      <w:pPr>
        <w:spacing w:after="0"/>
        <w:ind w:left="0"/>
        <w:jc w:val="both"/>
      </w:pPr>
      <w:r>
        <w:rPr>
          <w:rFonts w:ascii="Times New Roman"/>
          <w:b w:val="false"/>
          <w:i w:val="false"/>
          <w:color w:val="000000"/>
          <w:sz w:val="28"/>
        </w:rPr>
        <w:t xml:space="preserve">
      "6) мемлекеттік мүлікті есепке алу саласындағы бірыңғай оператор (бұдан әрі – Бірыңғай оператор) – Заңның 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Қазақстан Республикасы Үкіметінің шешімі бойынша айқындалған,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басқару және пайдалану жөніндегі функциялар жүктелген, жарғылық капиталына мемлекет қатысатын заңды тұлға;";</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"1. Осы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(бұдан әрі – Даму жоспарының орындалуы жөніндегі есеп) әзірлеу және ұсыну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bookmarkStart w:name="z14" w:id="8"/>
    <w:p>
      <w:pPr>
        <w:spacing w:after="0"/>
        <w:ind w:left="0"/>
        <w:jc w:val="both"/>
      </w:pPr>
      <w:r>
        <w:rPr>
          <w:rFonts w:ascii="Times New Roman"/>
          <w:b w:val="false"/>
          <w:i w:val="false"/>
          <w:color w:val="000000"/>
          <w:sz w:val="28"/>
        </w:rPr>
        <w:t xml:space="preserve">
      "5) мемлекеттік мүлікті есепке алу саласындағы бірыңғай оператор (бұдан әрі – Бірыңғай оператор) – Заңның 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Қазақстан Республикасы Үкіметінің шешімі бойынша айқындалған,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басқару және пайдалану жөніндегі функциялар жүктелген, жарғылық капиталына мемлекет қатысатын заңды тұлға;";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"9. Атқарушы орган Даму жоспарының орындалуы жөніндегі есепте және Даму жоспарының орындалуы жөніндегі есепте (жедел деректер бойынша) ұсынылған жедел деректердің уақтылығы және дұрыстығы үшін Қазақстан Республикасының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 тәртіптік жауаптылықта болады.".</w:t>
      </w:r>
    </w:p>
    <w:bookmarkEnd w:id="9"/>
    <w:bookmarkStart w:name="z17" w:id="10"/>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10"/>
    <w:bookmarkStart w:name="z18"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9" w:id="12"/>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2"/>
    <w:bookmarkStart w:name="z20" w:id="1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21"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4"/>
    <w:bookmarkStart w:name="z22"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