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2cab" w14:textId="06e2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2020 жылғы 25 желтоқсандағы № 6С-79-2 "2021-2023 жылдарға арналған ауылдық округтердің және Каменка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6 сәуірдегі № 7С-6-2 шешімі. Ақмола облысының Әділет департаментінде 2021 жылғы 14 сәуірде № 8428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"2021 - 2023 жылдарға арналған ауылдық округтердің және Каменка ауылының бюджеттері туралы" 2020 жылғы 25 желтоқсандағы № 6С-79-2 (Нормативтік құқықтық актілерді мемлекеттік тіркеу тізілімінде № 8314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2021-2023 жылдарға арналған бюджеті, тиісінше 1, 1-1 және 1-2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21891,4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Есіл ауылдық округінің 2021-2023 жылдарға арналған бюджеті, тиісінше 2, 2-1 және 2-2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22171,0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23757,8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1586,8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Жалтыр ауылдық округінің 2021-2023 жылдарға арналған бюджеті, тиісінше 3, 3-1 және 3-2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42816,0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30779,0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11496,0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Колутон ауылдық округінің 2021-2023 жылдарға арналған бюджеті, тиісінше 4, 4-1 және 4-2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Қызылжар ауылдық округінің 2021-2023 жылдарға арналған бюджеті, тиісінше 5, 5-1 және 5-2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Николаевка ауылдық округінің 2021-2023 жылдарға арналған бюджеті, тиісінше 6, 6-1 және 6-2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26323,1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2501,1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Новочеркасск ауылдық округінің 2021-2023 жылдарға арналған бюджеті, тиісінше 7, 7-1 және 7-2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32174,0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1400,1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Острогорск ауылдық округінің 2021-2023 жылдарға арналған бюджеті, тиісінше 8, 8-1 және 8-2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Первомай ауылдық округінің 2021-2023 жылдарға арналған бюджеті, тиісінше 9, 9-1 және 9-2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2757,2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Старый Колутон ауылдық округінің 2021-2023 жылдарға арналған бюджеті, тиісінше 10, 10-1 және 10-2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15139,0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15615,2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Ұзынкөл ауылдық округінің 2021-2023 жылдарға арналған бюджеті, тиісінше 11, 11-1 және 11-2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11085,0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14477,9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3392,9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Каменка ауылының 2021-2023 жылдарға арналған бюджеті, тиісінше 12, 12-1 және 12-2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А.Бейсенбенов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-21891,4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Жалтыр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Николаев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26323,1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Новочеркасск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Острогорск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Первомай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Старый Колутон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Каменка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