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521b" w14:textId="04c5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25 желтоқсандағы № 6С-67/2 "2021-2023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29 наурыздағы № 7С-7/2 шешімі. Ақмола облысының Әділет департаментінде 2021 жылғы 5 сәуірде № 8418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Жарқайың ауданының Державин қаласы, ауылдық округтері мен ауылдарының бюджеттері туралы" 2020 жылғы 25 желтоқсандағы № 6С-67/2 (Нормативтік құқықтық актілерді мемлекеттік тіркеу тізілімінде № 8323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Державин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- 71136,0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- 91541,0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- 20405,0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Уәлихан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- 18714,0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- 2767,0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Костычево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- 571,0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бюджеттік субвенциялар 12033,0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ағымдағы нысаналы трансферттер 538,0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Нахимов ауылдық округінің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Отрадный ауылдық округінің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- 19603,0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Жаңадала ауылдық округінің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- 33288,0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- 2004,0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бюджеттік субвенциялар 20031,0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ағымдағы нысаналы трансферттер 10416,0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Бірсуат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- 13497,0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бюджеттік субвенциялар 10207,0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ағымдағы нысаналы трансферттер 1690,0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Гастелло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- 1428,0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бюджеттік субвенциялар 10740,0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ағымдағы нысаналы трансферттер 5507,0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Далабай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- 408,0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бюджеттік субвенциялар 10371,0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ағымдағы нысаналы трансферттер 5718,0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Құмсуат ауылының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бюджеттік субвенциялар 10315,0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ағымдағы нысаналы трансферттер 413,0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Львов ауылының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- 11955,0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бюджеттік субвенциялар 10595,0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ағымдағы нысаналы трансферттер 160,0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Пригород ауылының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бюджеттік субвенциялар 12543,0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ағымдағы нысаналы трансферттер 5300,0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Пятигор ауылының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бюджеттік субвенциялар 10177,0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ағымдағы нысаналы трансферттер 335,0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Тасөткел ауылының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- 12581,0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бюджеттік субвенциялар 11761,0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ағымдағы нысаналы трансферттер 320,0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Тассуат ауылының бюджеті тиісінше 43, 44 және 45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бюджеттік субвенциялар 9324,0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ағымдағы нысаналы трансферттер 5300,0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Үшқарасу ауылының бюджеті тиісінше 46, 47 және 48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бюджеттік субвенциялар 9757,0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ағымдағы нысаналы трансферттер 520,0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Шойындыкөл ауылының бюджеті тиісінше 49, 50 және 51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-13720,0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бюджеттік субвенциялар 10795,0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ағымдағы нысаналы трансферттер 325,0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