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3008" w14:textId="ed73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даярлаудың 2021-2022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2021 жылғы 29 шілдедегі № 251 қаулысы. Қазақстан Республикасының Әділет министрлігінде 2021 жылғы 11 тамызда № 23948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Қазақстан Республикасы Білім және ғылым министрінің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кейінгі білімі бар кадрларды даярлауға, жоғары және (немесе) жоғары оқу орнынан кейiнгi бiлiм беру ұйымдарының дайындық бөлімдеріне, сондай-ақ мектепке дейінгі тәрбиелеу мен оқытуға, орта білім беруге және қосымша білім беруге мемлекеттiк бiлiм беру тапсырысын орналастыру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жоғары және жоғары оқу орнынан кейінгі білімі бар кадрларды даярлаудың 2021-2022 оқу жылына арналған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29 шілдедегі № 251 қаулысына қосымша</w:t>
            </w:r>
          </w:p>
        </w:tc>
      </w:tr>
    </w:tbl>
    <w:p>
      <w:pPr>
        <w:spacing w:after="0"/>
        <w:ind w:left="0"/>
        <w:jc w:val="left"/>
      </w:pPr>
      <w:r>
        <w:rPr>
          <w:rFonts w:ascii="Times New Roman"/>
          <w:b/>
          <w:i w:val="false"/>
          <w:color w:val="000000"/>
        </w:rPr>
        <w:t xml:space="preserve"> Жоғары және жоғары оқу орнынан кейінгі білімі бар кадрларды даярлаудың 2021-2022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141"/>
        <w:gridCol w:w="1973"/>
        <w:gridCol w:w="3279"/>
        <w:gridCol w:w="2226"/>
        <w:gridCol w:w="222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оқу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 маманды оқытуға жұмсалатын орташа шығыстар құны (теңге) күндізгі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білім беру ұйымдарында</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6B01 Педагогикалық ғылымдар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6B02 Өнер және гуманитарлық ғылымдар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922 500</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6B08 Ауыл шаруашылығы және биоресурстар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6В085 Жерге орналастыру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742 700</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7R09 Денсаулық сақтау (медицина)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балалардың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балалардың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