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bc1" w14:textId="f366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2021 жылғы 11 ақпандағы № 6 шешімі. Ақтөбе облысының Әділет департаментінде 2021 жылғы 17 ақпанда № 8055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Ақтөбе облысы әкімдігі жанындағы облыстық ономастика комиссиясының 2020 жылғы 22 қазандағы қорытындысы негізінде, тиісті аумақ халқының пікірін ескере отырып, Ш.Берсиев атындағы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Ш.Берсиев атындағы ауылдық округінің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көшесін "Абай"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"Қ.Ержанов" көшесін "Әбілқайыр хан"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Құмжарған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"Ш.Берсиев" көшесін "Дінмұхамед Қонаев"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"Республика" көшесін "Бекет ата"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"Ш.Берсиев" көшесін "Ахмет Жұбанов"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"Бейбітшілік" көшесін "Бауыржан Момышұлы"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Шығанақ Берсиев атындағы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