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06e4f" w14:textId="9806e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қайта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Көптоғай ауылдық округі әкімінің 2021 жылғы 20 қаңтардағы № 2 шешімі. Ақтөбе облысының Әділет департаментінде 2021 жылғы 21 қаңтарда № 8020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Ақтөбе облысы әкімдігі жанындағы облыстық ономастика комиссиясының 2020 жылғы 22 қазандағы қорытындысы негізінде, тиісті аумақ халқының пікірін ескере отырып, Көптоғай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Көптоғай ауылдық округінің келесі көшілері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ауылындағы: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"Тамдыкөл" көшесін "Әл Фараби"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"Бейбітшілік" көшесін "Абай" көшесіне.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Шұбарши ауылындағы: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"Тәуелсіздік" көшесін "Ишанбай Қарақұлов"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"Достық" көшесін "Шығанақ Берсиев" көшесіне.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Ойыл ауданы Көптоғай ауылдық округі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Ойыл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Көптоғай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Асылбаев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