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ddf" w14:textId="1870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2021 жылғы 18 қарашадағы № 37/02 қаулысы. Қазақстан Республикасының Әділет министрлігінде 2021 жылғы 26 қарашада № 25436 болып тіркелді. Күші жойылды - Қарағанды облысы Нұра ауданының әкімдігінің 2024 жылғы 4 қарашадағы № 40/01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04.11.2024 </w:t>
      </w:r>
      <w:r>
        <w:rPr>
          <w:rFonts w:ascii="Times New Roman"/>
          <w:b w:val="false"/>
          <w:i w:val="false"/>
          <w:color w:val="ff0000"/>
          <w:sz w:val="28"/>
        </w:rPr>
        <w:t>№ 40/01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Нұра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Нұра ауданы әкімінің орынбасары М.К. Жумановқа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2021 жылғы 18 қарашадағы</w:t>
            </w:r>
            <w:r>
              <w:br/>
            </w:r>
            <w:r>
              <w:rPr>
                <w:rFonts w:ascii="Times New Roman"/>
                <w:b w:val="false"/>
                <w:i w:val="false"/>
                <w:color w:val="000000"/>
                <w:sz w:val="20"/>
              </w:rPr>
              <w:t>№ 37/02</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және өзгеде нормативтік құқықтық актілерге сәйкес әзірленді және 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"Нұра ауданының тұрғын үй-коммуналдық шаруашылық, жолаушылар көлігі, автомобиль жолдары және тұрғын үй инспекциясы бөлімі" мемлекеттік мекемесі (бұдан әрі - Бөлім) кентке бірыңғай сәулеттік келбет беру үшін қасбеттерге, шатырларға ағымдағы немесе күрделі жөндеу жүргізуді талап ететін көп 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4. "Нұра ауданының сәулет және қала құрылысы бөлімі" мемлекеттік мекемесі Қағидалардың 3-тармағында көрсетілген көп пәтерлі тұрғын үйлердің тізбесін айқындағаннан кейін кенттің бірыңғай сәулет бейнесін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Нұра ауданының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 Қорытынды ереже</w:t>
      </w:r>
    </w:p>
    <w:bookmarkEnd w:id="33"/>
    <w:bookmarkStart w:name="z40" w:id="34"/>
    <w:p>
      <w:pPr>
        <w:spacing w:after="0"/>
        <w:ind w:left="0"/>
        <w:jc w:val="both"/>
      </w:pPr>
      <w:r>
        <w:rPr>
          <w:rFonts w:ascii="Times New Roman"/>
          <w:b w:val="false"/>
          <w:i w:val="false"/>
          <w:color w:val="000000"/>
          <w:sz w:val="28"/>
        </w:rPr>
        <w:t>
      14. Нұра кентіне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