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54b9" w14:textId="7815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2021 жылға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2021 жылғы 30 наурыздағы № 3/29 шешімі. Қарағанды облысының Әділет департаментінде 2021 жылғы 1 сәуірде № 6273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ЕТТI: </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бойынша 2021 жылға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 аудандық мәслихаттың құрылыс, автокөлік, коммуналдық шаруашылық, аграрлық мәселелер және экология жөніндегі тұрақты комиссиясына (Ғ. Мукушев) және аудан әкімінің орынбасары М.Жумкинге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30</w:t>
            </w:r>
            <w:r>
              <w:br/>
            </w:r>
            <w:r>
              <w:rPr>
                <w:rFonts w:ascii="Times New Roman"/>
                <w:b w:val="false"/>
                <w:i w:val="false"/>
                <w:color w:val="000000"/>
                <w:sz w:val="20"/>
              </w:rPr>
              <w:t>наурыздағы</w:t>
            </w:r>
            <w:r>
              <w:br/>
            </w:r>
            <w:r>
              <w:rPr>
                <w:rFonts w:ascii="Times New Roman"/>
                <w:b w:val="false"/>
                <w:i w:val="false"/>
                <w:color w:val="000000"/>
                <w:sz w:val="20"/>
              </w:rPr>
              <w:t>№ 3/29</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Шет ауданы бойынша 2021 жылға арналған жайылымдарды басқару және оларды пайдалану жөніндегі жоспары</w:t>
      </w:r>
    </w:p>
    <w:bookmarkEnd w:id="4"/>
    <w:bookmarkStart w:name="z11" w:id="5"/>
    <w:p>
      <w:pPr>
        <w:spacing w:after="0"/>
        <w:ind w:left="0"/>
        <w:jc w:val="both"/>
      </w:pPr>
      <w:r>
        <w:rPr>
          <w:rFonts w:ascii="Times New Roman"/>
          <w:b w:val="false"/>
          <w:i w:val="false"/>
          <w:color w:val="000000"/>
          <w:sz w:val="28"/>
        </w:rPr>
        <w:t>
      Жайылымдарды басқару және оларды пайдалану жөніндегі жоспар:</w:t>
      </w:r>
    </w:p>
    <w:bookmarkEnd w:id="5"/>
    <w:bookmarkStart w:name="z12" w:id="6"/>
    <w:p>
      <w:pPr>
        <w:spacing w:after="0"/>
        <w:ind w:left="0"/>
        <w:jc w:val="both"/>
      </w:pPr>
      <w:r>
        <w:rPr>
          <w:rFonts w:ascii="Times New Roman"/>
          <w:b w:val="false"/>
          <w:i w:val="false"/>
          <w:color w:val="000000"/>
          <w:sz w:val="28"/>
        </w:rPr>
        <w:t>
      жайылымдарды геоботаникалық зерттеп-қараудың жай-күйі туралы мәліметтер;</w:t>
      </w:r>
    </w:p>
    <w:bookmarkEnd w:id="6"/>
    <w:bookmarkStart w:name="z13" w:id="7"/>
    <w:p>
      <w:pPr>
        <w:spacing w:after="0"/>
        <w:ind w:left="0"/>
        <w:jc w:val="both"/>
      </w:pPr>
      <w:r>
        <w:rPr>
          <w:rFonts w:ascii="Times New Roman"/>
          <w:b w:val="false"/>
          <w:i w:val="false"/>
          <w:color w:val="000000"/>
          <w:sz w:val="28"/>
        </w:rPr>
        <w:t>
      ветеринариялық-санитариялық объектілер туралы мәліметтер;</w:t>
      </w:r>
    </w:p>
    <w:bookmarkEnd w:id="7"/>
    <w:bookmarkStart w:name="z14" w:id="8"/>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
    <w:bookmarkStart w:name="z15" w:id="9"/>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w:t>
      </w:r>
    </w:p>
    <w:bookmarkEnd w:id="9"/>
    <w:bookmarkStart w:name="z16" w:id="10"/>
    <w:p>
      <w:pPr>
        <w:spacing w:after="0"/>
        <w:ind w:left="0"/>
        <w:jc w:val="both"/>
      </w:pPr>
      <w:r>
        <w:rPr>
          <w:rFonts w:ascii="Times New Roman"/>
          <w:b w:val="false"/>
          <w:i w:val="false"/>
          <w:color w:val="000000"/>
          <w:sz w:val="28"/>
        </w:rPr>
        <w:t>
      Шет ауданы бойынша 2021 жылға арналған жайылымдарды басқару және оларды пайдалану жөніндегі жоспарға:</w:t>
      </w:r>
    </w:p>
    <w:bookmarkEnd w:id="10"/>
    <w:bookmarkStart w:name="z17" w:id="11"/>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 Қосымша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6) Шет ауданының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 Қосымша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 (</w:t>
      </w:r>
      <w:r>
        <w:rPr>
          <w:rFonts w:ascii="Times New Roman"/>
          <w:b w:val="false"/>
          <w:i w:val="false"/>
          <w:color w:val="000000"/>
          <w:sz w:val="28"/>
        </w:rPr>
        <w:t>8 Қосымша</w:t>
      </w:r>
      <w:r>
        <w:rPr>
          <w:rFonts w:ascii="Times New Roman"/>
          <w:b w:val="false"/>
          <w:i w:val="false"/>
          <w:color w:val="000000"/>
          <w:sz w:val="28"/>
        </w:rPr>
        <w:t>).</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 қосымша</w:t>
            </w:r>
          </w:p>
        </w:tc>
      </w:tr>
    </w:tbl>
    <w:bookmarkStart w:name="z26" w:id="1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19"/>
    <w:bookmarkStart w:name="z27"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4803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Шет ауданы бойынша жайылымдар - 2027729 гектар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 қосымша</w:t>
            </w:r>
          </w:p>
        </w:tc>
      </w:tr>
    </w:tbl>
    <w:bookmarkStart w:name="z30" w:id="22"/>
    <w:p>
      <w:pPr>
        <w:spacing w:after="0"/>
        <w:ind w:left="0"/>
        <w:jc w:val="left"/>
      </w:pPr>
      <w:r>
        <w:rPr>
          <w:rFonts w:ascii="Times New Roman"/>
          <w:b/>
          <w:i w:val="false"/>
          <w:color w:val="000000"/>
        </w:rPr>
        <w:t xml:space="preserve"> Шет ауданы бойынша жайылым айналымдарының қолайлы схемалары</w:t>
      </w:r>
    </w:p>
    <w:bookmarkEnd w:id="22"/>
    <w:bookmarkStart w:name="z31"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2390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942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 қосымша</w:t>
            </w:r>
          </w:p>
        </w:tc>
      </w:tr>
    </w:tbl>
    <w:bookmarkStart w:name="z33" w:id="2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24"/>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2390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 қосымша</w:t>
            </w:r>
          </w:p>
        </w:tc>
      </w:tr>
    </w:tbl>
    <w:bookmarkStart w:name="z36" w:id="2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26"/>
    <w:bookmarkStart w:name="z3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3533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533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 қосымша</w:t>
            </w:r>
          </w:p>
        </w:tc>
      </w:tr>
    </w:tbl>
    <w:bookmarkStart w:name="z39" w:id="2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8"/>
    <w:bookmarkStart w:name="z40"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9723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 қосымша</w:t>
            </w:r>
          </w:p>
        </w:tc>
      </w:tr>
    </w:tbl>
    <w:bookmarkStart w:name="z42" w:id="30"/>
    <w:p>
      <w:pPr>
        <w:spacing w:after="0"/>
        <w:ind w:left="0"/>
        <w:jc w:val="left"/>
      </w:pPr>
      <w:r>
        <w:rPr>
          <w:rFonts w:ascii="Times New Roman"/>
          <w:b/>
          <w:i w:val="false"/>
          <w:color w:val="000000"/>
        </w:rPr>
        <w:t xml:space="preserve"> Шет ауданы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0"/>
    <w:bookmarkStart w:name="z43"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9817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817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7 қосымша</w:t>
            </w:r>
          </w:p>
        </w:tc>
      </w:tr>
    </w:tbl>
    <w:bookmarkStart w:name="z45" w:id="3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2610"/>
        <w:gridCol w:w="3543"/>
        <w:gridCol w:w="3544"/>
      </w:tblGrid>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Акшатау кенті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Ақжал кенті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кентті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кентті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w:t>
            </w:r>
            <w:r>
              <w:br/>
            </w:r>
            <w:r>
              <w:rPr>
                <w:rFonts w:ascii="Times New Roman"/>
                <w:b w:val="false"/>
                <w:i w:val="false"/>
                <w:color w:val="000000"/>
                <w:sz w:val="20"/>
              </w:rPr>
              <w:t>2021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8 қосымша</w:t>
            </w:r>
          </w:p>
        </w:tc>
      </w:tr>
    </w:tbl>
    <w:bookmarkStart w:name="z47" w:id="33"/>
    <w:p>
      <w:pPr>
        <w:spacing w:after="0"/>
        <w:ind w:left="0"/>
        <w:jc w:val="left"/>
      </w:pPr>
      <w:r>
        <w:rPr>
          <w:rFonts w:ascii="Times New Roman"/>
          <w:b/>
          <w:i w:val="false"/>
          <w:color w:val="000000"/>
        </w:rPr>
        <w:t xml:space="preserve"> Тиісті әкімшілік-аумақтық бірлікте жайылымдарды ұтымды пайдалану үшін қажетті өзге де талаптарды қамтуға тиіс.</w:t>
      </w:r>
    </w:p>
    <w:bookmarkEnd w:id="33"/>
    <w:bookmarkStart w:name="z48" w:id="34"/>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пайыз (бұдан әрі -%) көп, ал өткізуде жайылымдарды рационалды пайдаланудың барлық жүйесінің (шөпті дұрыс улау, ағымдағы күтім, жайылым айналымын енгізу, малды жаюдың қаша жүйесін пайдалану) табиғи жайылымдық алқаптардың өнімділігін 2-3 есе арттырады.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