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3e50" w14:textId="5cf3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"Жаңарық ауылдық округінің 2021-2023 жылдарға арналған бюджеті туралы" Жаңақорған аудандық мәслихатының 2020 жылғы 30 желтоқсандағы № 593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31 наурыздағы № 43 шешімі. Қызылорда облысының Әділет департаментінде 2021 жылғы 8 сәуірде № 8289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"Жаңарық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№593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2021 жылғы 06 қаңтарда 8089 нөмірімен тіркелген, Қазақстан Республикасының нормативтік құқықтық актілер эталондық бақылау банкінде 2021 жылғы 17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Жаңарық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83 386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80 725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84 375,9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- 989,9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989,9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989,9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