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b9a2" w14:textId="dafb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"Жаңарық ауылдық округінің 2021-2023 жылдарға арналған бюджеті туралы" Жаңақорған аудандық мәслихатының 2020 жылғы 30 желтоқсандағы №593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31 наурыздағы № 43 шешімі. Қызылорда облысының Әділет департаментінде 2021 жылғы 8 сәуірде № 8289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"Жаңарық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2021 жылғы 06 қаңтарда 8089 нөмірімен тіркелген, Қазақстан Республикасының нормативтік құқықтық актілер эталондық бақылау банкінде 2021 жылғы 17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Жаңарық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83 386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80 725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84 375,9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- 989,9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989,9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989,9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Жаңарық ауылдық округінің 2021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9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84375,9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ісшараларды өткізу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 нысаналы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