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432c" w14:textId="add4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әкімдігінің 2021 жылғы 23 ақпандағы № 46 қаулысы. Маңғыстау облысы Әділет департаментінде 2021 жылғы 26 ақпанда № 4460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"Жаңаөзен-Жетыбай-Ақтау" магистральдық газ құбырының желілік бөлігін пайдалану үшін Маңғыстау облысының Ақтау және Жаңаөзен қалаларының, Қарақия, Мұнайлы және Маңғыстау аудандарының әкімшілік шекараларында орналасқан жалпы көлемі 151,9568 гектар жер учаскелеріне "ҚазТрансГаз Аймақ" акционерлік қоғамына жер учаскелерін меншік иелері мен жер пайдаланушылардан алып қоймастан 49 (қырық тоғыз)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w:t>
      </w:r>
    </w:p>
    <w:bookmarkEnd w:id="2"/>
    <w:bookmarkStart w:name="z3" w:id="3"/>
    <w:p>
      <w:pPr>
        <w:spacing w:after="0"/>
        <w:ind w:left="0"/>
        <w:jc w:val="both"/>
      </w:pPr>
      <w:r>
        <w:rPr>
          <w:rFonts w:ascii="Times New Roman"/>
          <w:b w:val="false"/>
          <w:i w:val="false"/>
          <w:color w:val="000000"/>
          <w:sz w:val="28"/>
        </w:rPr>
        <w:t>
      осы қаулының әділет органдарында мемлекеттік тіркелуін;</w:t>
      </w:r>
    </w:p>
    <w:bookmarkEnd w:id="3"/>
    <w:bookmarkStart w:name="z4" w:id="4"/>
    <w:p>
      <w:pPr>
        <w:spacing w:after="0"/>
        <w:ind w:left="0"/>
        <w:jc w:val="both"/>
      </w:pPr>
      <w:r>
        <w:rPr>
          <w:rFonts w:ascii="Times New Roman"/>
          <w:b w:val="false"/>
          <w:i w:val="false"/>
          <w:color w:val="000000"/>
          <w:sz w:val="28"/>
        </w:rPr>
        <w:t>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осы қаулыдан туындайтын өзге де шараларды қабылдасын. </w:t>
      </w:r>
    </w:p>
    <w:bookmarkEnd w:id="5"/>
    <w:bookmarkStart w:name="z6" w:id="6"/>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қаулысына қосымша</w:t>
            </w:r>
          </w:p>
        </w:tc>
      </w:tr>
    </w:tbl>
    <w:bookmarkStart w:name="z11" w:id="8"/>
    <w:p>
      <w:pPr>
        <w:spacing w:after="0"/>
        <w:ind w:left="0"/>
        <w:jc w:val="left"/>
      </w:pPr>
      <w:r>
        <w:rPr>
          <w:rFonts w:ascii="Times New Roman"/>
          <w:b/>
          <w:i w:val="false"/>
          <w:color w:val="000000"/>
        </w:rPr>
        <w:t xml:space="preserve"> "Жаңаөзен-Жетыбай-Ақтау" магистральды газ құбырын пайдалану үшін қауымдық сервитут белгіленетін жер учаскелерінің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995"/>
        <w:gridCol w:w="7183"/>
        <w:gridCol w:w="1562"/>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сервитутпен белгіленген жерлер, гектар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0,0848</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0,0759</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5,2184</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3,6582</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151,9568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