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5b56" w14:textId="b345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облысында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2021 жылғы 12 қарашадағы № 117 шешімі. Қазақстан Республикасының Әділет министрлігінде 2021 жылғы 22 қарашада № 25291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2015 жылғы 28 ақпандағы № 161 "Ауыз сумен жабдықтаудың баламасыз көздері болып табылатын ерекше маңызды топтық және оқшау сумен жабдықтау жүйелерінен ауыз су беру жөніндегі көрсетілетін қызметтер құнын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11299 болып тіркелген) сәйкес Қостанай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облысында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қосылған құн салығын ескере отырып, ауызсуды есепке алу аспаптары бар тұтынушылар үшін – 55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қосылған құн салығын ескере отырып, ауызсуды есепке алу аспаптары жоқ тұтынушылар үшін –70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күнінен кейін күнтізбелік он күн өткен соң қолданысқа енгізіледі және 2021 жылғы 16 тамыздан бастап туындаған қатынастарға таратылады.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