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67ec6" w14:textId="2c67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әлеуметтік маңызы бар азық-түлік тауарларына бөлшек сауда бағаларының шекті мәндерін бекіту туралы</w:t>
      </w:r>
    </w:p>
    <w:p>
      <w:pPr>
        <w:spacing w:after="0"/>
        <w:ind w:left="0"/>
        <w:jc w:val="both"/>
      </w:pPr>
      <w:r>
        <w:rPr>
          <w:rFonts w:ascii="Times New Roman"/>
          <w:b w:val="false"/>
          <w:i w:val="false"/>
          <w:color w:val="000000"/>
          <w:sz w:val="28"/>
        </w:rPr>
        <w:t>Солтүстік Қазақстан облысы әкімдігінің 2021 жылғы 20 қаңтардағы № 8 қаулысы. Солтүстік Қазақстан облысының Әділет департаментінде 2021 жылғы 21 қаңтарда № 7100 болып тіркелді</w:t>
      </w:r>
    </w:p>
    <w:p>
      <w:pPr>
        <w:spacing w:after="0"/>
        <w:ind w:left="0"/>
        <w:jc w:val="both"/>
      </w:pPr>
      <w:bookmarkStart w:name="z4" w:id="0"/>
      <w:r>
        <w:rPr>
          <w:rFonts w:ascii="Times New Roman"/>
          <w:b w:val="false"/>
          <w:i w:val="false"/>
          <w:color w:val="000000"/>
          <w:sz w:val="28"/>
        </w:rPr>
        <w:t xml:space="preserve">
      "Сауда қызметін реттеу туралы" Қазақстан Республикасының 2004 жылғы 12 сәуірдегі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бұйрығымен бекітілген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2021 жылғы тоқсандарға арналған әлеуметтік маңызы бар азық-түлік тауарларына бөлшек сауда бағаларының шекті мәндері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кәсіпкерлік және индустриялық-инновациялық даму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2021 жылға арналған әлеуметтік маңызы бар азық-түлік тауарларына бөлшек сауда бағаларының шекті мәндері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4850"/>
        <w:gridCol w:w="1625"/>
        <w:gridCol w:w="1625"/>
        <w:gridCol w:w="1626"/>
        <w:gridCol w:w="1626"/>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сәйкес бөлшек сауда бағаларының шекті мәні,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xml:space="preserve">
1 </w:t>
            </w:r>
            <w:r>
              <w:br/>
            </w:r>
            <w:r>
              <w:rPr>
                <w:rFonts w:ascii="Times New Roman"/>
                <w:b w:val="false"/>
                <w:i w:val="false"/>
                <w:color w:val="000000"/>
                <w:sz w:val="20"/>
              </w:rPr>
              <w:t>
тоқсан</w:t>
            </w:r>
          </w:p>
          <w:bookmarkEnd w:id="8"/>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xml:space="preserve">
2 </w:t>
            </w:r>
            <w:r>
              <w:br/>
            </w:r>
            <w:r>
              <w:rPr>
                <w:rFonts w:ascii="Times New Roman"/>
                <w:b w:val="false"/>
                <w:i w:val="false"/>
                <w:color w:val="000000"/>
                <w:sz w:val="20"/>
              </w:rPr>
              <w:t>
тоқсан</w:t>
            </w:r>
          </w:p>
          <w:bookmarkEnd w:id="9"/>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тоқсан</w:t>
            </w:r>
          </w:p>
          <w:bookmarkEnd w:id="10"/>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xml:space="preserve">
4 </w:t>
            </w:r>
            <w:r>
              <w:br/>
            </w:r>
            <w:r>
              <w:rPr>
                <w:rFonts w:ascii="Times New Roman"/>
                <w:b w:val="false"/>
                <w:i w:val="false"/>
                <w:color w:val="000000"/>
                <w:sz w:val="20"/>
              </w:rPr>
              <w:t>
тоқсан</w:t>
            </w:r>
          </w:p>
          <w:bookmarkEnd w:id="11"/>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 килограмм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 килограмм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 килограмм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 килограмм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 килограмм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килограмм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килограмм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килограмм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 килограмм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 килограмм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литр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 килограмм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 килограмм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 литр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2,5% айран, жұмсақ қаптамада, литр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 ктлограмм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 ондаған</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-дан басқа), килограмм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 килограмм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