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b183" w14:textId="c8eb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2017 жылғы 20 қарашадағы № 15-3 "Сот шешімімен Солтүстік Қазақстан облысы Ғабит Мүсірепов атындағы ауданның коммуналдық меншігіне түскен болып танылған иесіз қалдықтарды басқару қағидаларын бекіту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27 шілдедегі № 7-10 шешімі. Қазақстан Республикасының Әділет министрлігінде 2021 жылғы 2 тамызда № 23790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"Сот шешімімен Солтүстік Қазақстан облысы Ғабит Мүсірепов атындағы ауданның коммуналдық меншігіне түскен болып танылған иесіз қалдықтарды басқару қағидаларын бекіту туралы" 2017 жылғы 20 қарашадағы № 15-3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4409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