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b25b" w14:textId="08ab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Полудин ауылдық округінің Полудин ауылындағы кейбір көшелер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Полудин ауылдық округі әкімінің 2021 жылғы 20 сәуірдегі № 9 шешімі. Солтүстік Қазақстан облысының Әділет департаментінде 2021 жылғы 21 сәуірде № 73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- 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ономастика комиссиясының 2020 жылғы 29 желтоқсандағы қорытындысы негізінде, Полудин ауылы халқының пікірін ескере отырып, Солтүстік Қазақстан облысы Мағжан Жұмабаев ауданы Полуд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Полудин ауылдық округінің Полудин ауылының келесі көшелеріне қайта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е – Абай Кұнанба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не – Мағжан Жұмаба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не – Достық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көшесіне – Шоқан Уәлихано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не – Ғабит Мүсіреп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е – Н.Ковшова көшес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