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187c" w14:textId="1601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2021 жылғы 20 желтоқсандағы № 120-VII шешімі. Қазақстан Республикасының Әділет министрлігінде 2021 жылғы 20 желтоқсанда № 25821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бөлігіне және Қазақстан Республикасы Индустия және инфрақұрылымдық даму министрінің 2021 жылғы 27 тамыздағы № 470 "Ауызсумен жабдықтаудың баламасыз көздері болып табылатын сумен жабдықтаудың ерекше маңызды топтық және оқшау жүйлерінен халыққа берілген ауызсудың бір текше метрі үшін төлемақы мөлшерін есептеу әдестемесін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24170 болып тіркелген) сәйкес Атырау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ауызсуды есепке алу аспаптары бар тұтынушылар үшін – 50 теңге;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ауызсуды есепке алу аспаптары жоқ тұтынушылар үшін – 60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қолданысқа енгізіледі және 2021 жылғы 16 тамыздан бастап туындаған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