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ea57" w14:textId="967e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28 желтоқсандағы № 379 "2021-2023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25 наурыздағы № 18 шешiмi. Түркістан облысының Әдiлет департаментiнде 2021 жылғы 2 сәуірде № 6140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2020 жылғы 28 желтоқсандағы № 379 "2021-2023 жылдарға арналған ауылдық округтер бюджеті туралы" (нормативтік құқықтық актілерді мемлекеттік тіркеу тізілімінде № 6026 тіркелген, 2021 жылғы 21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2021-2023 жылдарға арналған бюджеті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43 429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2021-2023 жылдарға арналған бюджеті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2021-2023 жылдарға арналған бюджеті 7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32 390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3 159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2021-2023 жылдарға арналған бюджеті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40 985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33 708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2021-2023 жылдарға арналған бюджеті 13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76 550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Созақ ауылдық округінің 2021-2023 жылдарға арналған бюджеті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49 159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11 749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11 749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2021-2023 жылдарға арналған бюджеті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5 081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2021-2023 жылдарға арналған бюджеті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-24 236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24 236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24 236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2021-2023 жылдарға арналған бюджеті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2021-2023 жылдарға арналған бюджеті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8 498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2021-2023 жылдарға арналған бюджеті 31-қосымшаға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49 770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13 501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Тасты ауылдық округінің 2021-2023 жылдарға арналған бюджеті 34-қосымшаға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27 019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1 579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