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04a4" w14:textId="8100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Солнечное ауылында орналасқан сұралып отырған жер учаскелерінің тұстамасындағы Маховка өзеніндегі тоғанның су қорғау аймағы мен су қорғау белдеуін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3 ақпандағы № 22 қаулысы. Шығыс Қазақстан облысының Әділет департаментінде 2021 жылғы 9 ақпанда № 8401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7"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Глубокое ауданы Солнечное ауылында орналасқан сұралып отырған жер учаскелерінің тұстамасындағы Маховка өзеніндегі тоғанның су қорғау аймағы мен су қорғау белдеуі;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 Солнечное ауылында орналасқан сұралып отырған жер учаскелерінің тұстамасындағы Маховка өзеніндегі тоғанның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Start w:name="z10"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11"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______________ М. Иманжанов </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2021 жылғы 3 ақпандағы </w:t>
            </w:r>
            <w:r>
              <w:br/>
            </w:r>
            <w:r>
              <w:rPr>
                <w:rFonts w:ascii="Times New Roman"/>
                <w:b w:val="false"/>
                <w:i w:val="false"/>
                <w:color w:val="000000"/>
                <w:sz w:val="20"/>
              </w:rPr>
              <w:t>№ 22 қаулысына қосымша</w:t>
            </w:r>
          </w:p>
        </w:tc>
      </w:tr>
    </w:tbl>
    <w:bookmarkStart w:name="z30" w:id="4"/>
    <w:p>
      <w:pPr>
        <w:spacing w:after="0"/>
        <w:ind w:left="0"/>
        <w:jc w:val="left"/>
      </w:pPr>
      <w:r>
        <w:rPr>
          <w:rFonts w:ascii="Times New Roman"/>
          <w:b/>
          <w:i w:val="false"/>
          <w:color w:val="000000"/>
        </w:rPr>
        <w:t xml:space="preserve"> Шығыс Қазақстан облысы Глубокое ауданы Солнечное ауылында орналасқан сұралып отырған жер учаскелерінің тұстамасындағы Маховка өзеніндегі тоғанның су қорғау аймағы мен су қорғау белдеуі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1831"/>
        <w:gridCol w:w="1831"/>
        <w:gridCol w:w="2578"/>
        <w:gridCol w:w="1831"/>
        <w:gridCol w:w="1831"/>
        <w:gridCol w:w="968"/>
      </w:tblGrid>
      <w:tr>
        <w:trPr>
          <w:trHeight w:val="30" w:hRule="atLeast"/>
        </w:trPr>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Маховка өзеніндегі тоған (сол жағалау)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