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9e76" w14:textId="82e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Январцев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60-23 шешімі. Батыс Қазақстан облысының Әділет департаментінде 2021 жылғы 15 қаңтарда № 6803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50 632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5 739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44 860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29 678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Январцев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60-23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60-23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