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9de4" w14:textId="8d6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2021 жылғы 12 қаңтардағы № 5 қаулысы. Батыс Қазақстан облысының Әділет департаментінде 2021 жылғы 13 қаңтарда № 6781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Теректі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салық салу объектісінің елді мекенде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әкімдігінің 2020 жылғы 5 ақпандағы № 23 "Салық салу объектісінің елді мекенде орналасуын ескеретін аймаққа бөлу коэффициенттерін бекіту туралы" (Нормативтік құқықтық актілерді мемлекеттік тіркеу тізілімінде № 6023 тіркелген, 2020 жылғы 10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Теректі ауданы әкімі аппаратының басшысы (А.Баяхатов)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Е.Досмаковқа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_____________С.Есенгалиев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"30" желтоқсан 2020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жылғы12 қаңтардағы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 орналасуы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Ыждағат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Балықцехы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точка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Тұқпай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