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e855" w14:textId="a24e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қамтудың жеке картасын және оны толтыру нысанын бекіту туралы" Қазақстан Республикасы Денсаулық сақтау және әлеуметтік даму министрінің 2016 жылғы 28 маусымдағы № 576 бұйрығына және Қазақстан Республикасы Еңбек және халықты әлеуметтік қорғау министрінің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2018 жылғы 19 маусымдағы № 259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2022 жылғы 11 ақпандағы № 55 бұйрығы. Қазақстан Республикасының Әділет министрлігінде 2022 жылғы 15 ақпанда № 26807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Премьер-Министрінің орынбасары - Еңбек және халықты әлеуметтік қорғау министрінің 01.09.2023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Еңбек және халықты әлеуметтік қорғау министрінің 09.06.2023 </w:t>
      </w:r>
      <w:r>
        <w:rPr>
          <w:rFonts w:ascii="Times New Roman"/>
          <w:b w:val="false"/>
          <w:i w:val="false"/>
          <w:color w:val="000000"/>
          <w:sz w:val="28"/>
        </w:rPr>
        <w:t>№ 214</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2"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1"/>
    <w:bookmarkStart w:name="z9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94" w:id="3"/>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3"/>
    <w:bookmarkStart w:name="z95"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4"/>
    <w:bookmarkStart w:name="z96" w:id="5"/>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Е.Е. Біржановқа жүктелсін.</w:t>
      </w:r>
    </w:p>
    <w:bookmarkEnd w:id="5"/>
    <w:bookmarkStart w:name="z97"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0"/>
              <w:ind w:left="0"/>
              <w:jc w:val="left"/>
            </w:pPr>
          </w:p>
          <w:p>
            <w:pPr>
              <w:spacing w:after="20"/>
              <w:ind w:left="20"/>
              <w:jc w:val="both"/>
            </w:pPr>
            <w:r>
              <w:rPr>
                <w:rFonts w:ascii="Times New Roman"/>
                <w:b w:val="false"/>
                <w:i/>
                <w:color w:val="000000"/>
                <w:sz w:val="20"/>
              </w:rPr>
              <w:t>қорғау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 және</w:t>
            </w:r>
          </w:p>
          <w:p>
            <w:pPr>
              <w:spacing w:after="0"/>
              <w:ind w:left="0"/>
              <w:jc w:val="left"/>
            </w:pP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Ескерту.2-қосымшаның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Ескерту.3-қосымшаның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Ескерту.4-қосымшаның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Ескерту.5-қосымшаның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Ескерту.6-қосымшаның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r>
              <w:br/>
            </w:r>
            <w:r>
              <w:rPr>
                <w:rFonts w:ascii="Times New Roman"/>
                <w:b w:val="false"/>
                <w:i w:val="false"/>
                <w:color w:val="000000"/>
                <w:sz w:val="20"/>
              </w:rPr>
              <w:t>№ 55 Бұйрыққа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Ескерту.7-қосымшаның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214</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