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5e28" w14:textId="0c05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фармацевтика,ағаш өңдеу өнеркәсібі салаларында, сондай-ақ машина жасау және құрылысиндустриясында тауарларды Еуразиялық экономикалық одақтың кедендікаумағында/аумағынан тыс қайта өңдеудің және ішкі тұтыну үшін қайта өңдеудіңшарттары туралы құжатты беру" мемлекеттік қызметті көрсетудің қағидаларын бекіту туралы" Қазақстан Республикасы Индустрия және инфрақұрылымдық дамуминистрінің 2020 жылғы 22 сәуірдегі № 219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ақпандағы № 91 бұйрығы. Қазақстан Республикасының Әділет министрлігінде 2022 жылғы 22 ақпанда № 26895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20482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Көрсетілетін қызметті берушінің мемлекеттік қызметтер көрсету мәселелері бойынша шешіміне, әрекеттеріне (әрекетсіздігіне) шағымды әкімшілік (сотқа дейінгі) тәртіппен қарауды жоғары тұрған әкімшілік орган, жеңіл, тау-кен металлургиясы, химия, фармацевтика, ағаш өңдеу өнеркәсібі салаларында, сондай - ақ машина жасау және құрылыс индустриясы саласында басшылықты жүзеге асыратын лауазымды адам (бұдан әрі-уәкілетті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Қазақстан Республикасының Әкімшілік рәсімдік-процестік кодексіне сәйкес шағым әкімшілік органға және (немесе) шешіміне, әрекетіне (әрекетсіздігіне) шағым жасалып отырған лауазымды адамға беріледі.</w:t>
      </w:r>
    </w:p>
    <w:bookmarkEnd w:id="4"/>
    <w:bookmarkStart w:name="z8" w:id="5"/>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5"/>
    <w:bookmarkStart w:name="z9" w:id="6"/>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6"/>
    <w:bookmarkStart w:name="z10" w:id="7"/>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
    <w:p>
      <w:pPr>
        <w:spacing w:after="0"/>
        <w:ind w:left="0"/>
        <w:jc w:val="both"/>
      </w:pPr>
      <w:r>
        <w:rPr>
          <w:rFonts w:ascii="Times New Roman"/>
          <w:b w:val="false"/>
          <w:i w:val="false"/>
          <w:color w:val="000000"/>
          <w:sz w:val="28"/>
        </w:rPr>
        <w:t>
      уәкілетті орган - оны тіркеген күннен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bookmarkStart w:name="z12"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