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c92f" w14:textId="4afc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"Қамтамасыз етілген цифрлық активтерді шығару және олардың айналымы қағидаларын бекіту туралы" Қазақстан Республикасы Цифрлық даму, инновациялар және аэроғарыш өнеркәсібі министрінің 2020 жылғы 29 қазандағы № 407/НҚ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25 ақпандағы № 66/НҚ бұйрығы. Қазақстан Республикасының Әділет министрлігінде 2022 жылғы 28 ақпанда № 26977 болып тіркелді. Күші жойылды - ҚР Цифрлық даму, инновациялар және аэроғарыш өнеркәсібі министрінің м.а. 30.03.2023 № 117/НҚ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м.а. 30.03.2023 </w:t>
      </w:r>
      <w:r>
        <w:rPr>
          <w:rFonts w:ascii="Times New Roman"/>
          <w:b w:val="false"/>
          <w:i w:val="false"/>
          <w:color w:val="ff0000"/>
          <w:sz w:val="28"/>
        </w:rPr>
        <w:t>№ 117/НҚ</w:t>
      </w:r>
      <w:r>
        <w:rPr>
          <w:rFonts w:ascii="Times New Roman"/>
          <w:b w:val="false"/>
          <w:i w:val="false"/>
          <w:color w:val="ff0000"/>
          <w:sz w:val="28"/>
        </w:rPr>
        <w:t xml:space="preserve"> (01.04.2023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"Қамтамасыз етілген цифрлық активтерді шығару және олардың айналымы қағидаларын бекіту туралы" Қазақстан Республикасы Цифрлық даму, инновациялар және аэроғарыш өнеркәсібі министрінің 2020 жылғы 29 қазандағы № 407/НҚ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21546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Қамтамасыз етілген цифрлық активтерді шығару және олардың айналымы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Қамтамасыз етілген цифрлық активті шығару ақпараттық жүйенің иесі немесе меншік иесі мен қамтамасыз етілген цифрлық активті шығаратын тұлға болып табылатын пайдаланушы арасындағы келісімге сәйкес ақпараттық жүйенің иесі немесе меншік иесі қамтамасыз етілген цифрлық активпен куәландырылатын құқықтары туралы жазбаны ақпараттық жүйеге енгізуі арқылы жүзеге асырылады. </w:t>
      </w:r>
    </w:p>
    <w:bookmarkEnd w:id="3"/>
    <w:bookmarkStart w:name="z6" w:id="4"/>
    <w:p>
      <w:pPr>
        <w:spacing w:after="0"/>
        <w:ind w:left="0"/>
        <w:jc w:val="both"/>
      </w:pPr>
      <w:r>
        <w:rPr>
          <w:rFonts w:ascii="Times New Roman"/>
          <w:b w:val="false"/>
          <w:i w:val="false"/>
          <w:color w:val="000000"/>
          <w:sz w:val="28"/>
        </w:rPr>
        <w:t>
      Цифрлық активтерді шығару, олардың сауда-саттығын ұйымдастыру, сондай-ақ цифрлық активтерді ақшаға, құндылықтарға және өзге де мүлікке айырбастау жөніндегі қызметтерді ұсыну жөніндегі қызметті жүзеге асыратын тұлға мүліктің меншік иесі немесе қамтамасыз етілген цифрлық активпен куәландырылатын құқықтар тиесілі өзге де тұлға болып табылады.</w:t>
      </w:r>
    </w:p>
    <w:bookmarkEnd w:id="4"/>
    <w:bookmarkStart w:name="z7" w:id="5"/>
    <w:p>
      <w:pPr>
        <w:spacing w:after="0"/>
        <w:ind w:left="0"/>
        <w:jc w:val="both"/>
      </w:pPr>
      <w:r>
        <w:rPr>
          <w:rFonts w:ascii="Times New Roman"/>
          <w:b w:val="false"/>
          <w:i w:val="false"/>
          <w:color w:val="000000"/>
          <w:sz w:val="28"/>
        </w:rPr>
        <w:t>
      4. Қамтамасыз етілген цифрлық активтің айналымы қамтамасыз етілген цифрлық активтерге құқықтарды куәландыру және оларға көшу, сондай-ақ цифрлық активтерді иеліктен шығаруды, сатып алуды, электрондық ақшаға, құндылықтарға және өзге де мүлікке айырбастауды қоса алғанда, ақпараттық жүйені пайдаланушылар арасындағы келісімге сәйкес ақпараттық жүйеге мәліметтерді енгізу арқылы оларға үшінші тұлғалардың құқықтарымен ауыртпалық салу жолымен жүзеге асырылады.</w:t>
      </w:r>
    </w:p>
    <w:bookmarkEnd w:id="5"/>
    <w:bookmarkStart w:name="z8" w:id="6"/>
    <w:p>
      <w:pPr>
        <w:spacing w:after="0"/>
        <w:ind w:left="0"/>
        <w:jc w:val="both"/>
      </w:pPr>
      <w:r>
        <w:rPr>
          <w:rFonts w:ascii="Times New Roman"/>
          <w:b w:val="false"/>
          <w:i w:val="false"/>
          <w:color w:val="000000"/>
          <w:sz w:val="28"/>
        </w:rPr>
        <w:t>
      Ақпараттық жүйеге цифрлық активті немесе оған құқықтарды беру туралы мәліметтерді енгізуге мынадай шарттар орындалған кезде:</w:t>
      </w:r>
    </w:p>
    <w:bookmarkEnd w:id="6"/>
    <w:bookmarkStart w:name="z9" w:id="7"/>
    <w:p>
      <w:pPr>
        <w:spacing w:after="0"/>
        <w:ind w:left="0"/>
        <w:jc w:val="both"/>
      </w:pPr>
      <w:r>
        <w:rPr>
          <w:rFonts w:ascii="Times New Roman"/>
          <w:b w:val="false"/>
          <w:i w:val="false"/>
          <w:color w:val="000000"/>
          <w:sz w:val="28"/>
        </w:rPr>
        <w:t>
      1) мәліметтер енгізуді жүзеге асырған тұлға осы Қағидаларда айқындалған тәртіппен цифрлық активтерді шығару, олардың сауда-саттығын ұйымдастыру, сондай-ақ бөлінген деректер платформасында ақшаға, құндылықтарға және өзге де мүлікке цифрлық активтерді айырбастау бойынша қызметтер ұсыну жөніндегі қызметті жүзеге асыратын тұлғаның ақпараттық жүйесіне кіру рұқсаты болған жағдайда;</w:t>
      </w:r>
    </w:p>
    <w:bookmarkEnd w:id="7"/>
    <w:bookmarkStart w:name="z10" w:id="8"/>
    <w:p>
      <w:pPr>
        <w:spacing w:after="0"/>
        <w:ind w:left="0"/>
        <w:jc w:val="both"/>
      </w:pPr>
      <w:r>
        <w:rPr>
          <w:rFonts w:ascii="Times New Roman"/>
          <w:b w:val="false"/>
          <w:i w:val="false"/>
          <w:color w:val="000000"/>
          <w:sz w:val="28"/>
        </w:rPr>
        <w:t xml:space="preserve">
      2) цифрлық активтерді шығару, олардың сауда-саттығын ұйымдастыру, сондай-ақ бөлінген деректер платформасында ақшаға, құндылықтарға және өзге де мүлікке цифрлық активтерді айырбастау бойынша қызметтерді ұсыну жөніндегі қызметті жүзеге асыратын тұлғаның ақпараттық жүйесі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сәйкес келген жағдайда жол беріледі.". </w:t>
      </w:r>
    </w:p>
    <w:bookmarkEnd w:id="8"/>
    <w:bookmarkStart w:name="z11" w:id="9"/>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заңнамада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3" w:id="11"/>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интернет-ресурсына орналастыруды;</w:t>
      </w:r>
    </w:p>
    <w:bookmarkEnd w:id="11"/>
    <w:bookmarkStart w:name="z14" w:id="12"/>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2"/>
    <w:bookmarkStart w:name="z15"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