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fd4e" w14:textId="a1ef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25 наурыздағы № 111 бұйрығы. Қазақстан Республикасының Әділет министрлігінде 2022 жылғы 31 наурызда № 27346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16137 болып тіркелді)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Nz – бір жылда бір білім алушыға есептегендегі жан басына шаққандағы қаржыландыру нормативі мына формула бойынша есептеледі:</w:t>
      </w:r>
    </w:p>
    <w:p>
      <w:pPr>
        <w:spacing w:after="0"/>
        <w:ind w:left="0"/>
        <w:jc w:val="both"/>
      </w:pPr>
      <w:r>
        <w:rPr>
          <w:rFonts w:ascii="Times New Roman"/>
          <w:b w:val="false"/>
          <w:i w:val="false"/>
          <w:color w:val="000000"/>
          <w:sz w:val="28"/>
        </w:rPr>
        <w:t>
      Nz = [(Еz + L) * (k1 + k2)] + А1 + А2 + А3,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 – орта білім беру ұйымдарының жалпы білім беретін сыныптарындағы білім беру деңгейін (бастауыш, негізгі орта, жалпы орта білім беру), оның ішінде дамуында ерекше білім беруге қажеттіліктері бар білім алушыларды көрсететін индекс;</w:t>
      </w:r>
    </w:p>
    <w:p>
      <w:pPr>
        <w:spacing w:after="0"/>
        <w:ind w:left="0"/>
        <w:jc w:val="both"/>
      </w:pPr>
      <w:r>
        <w:rPr>
          <w:rFonts w:ascii="Times New Roman"/>
          <w:b w:val="false"/>
          <w:i w:val="false"/>
          <w:color w:val="000000"/>
          <w:sz w:val="28"/>
        </w:rPr>
        <w:t>
      Еz – бір жылда бір білім алушыға шаққандағы білім беру процесі шығыстарының нормасы.</w:t>
      </w:r>
    </w:p>
    <w:p>
      <w:pPr>
        <w:spacing w:after="0"/>
        <w:ind w:left="0"/>
        <w:jc w:val="both"/>
      </w:pPr>
      <w:r>
        <w:rPr>
          <w:rFonts w:ascii="Times New Roman"/>
          <w:b w:val="false"/>
          <w:i w:val="false"/>
          <w:color w:val="000000"/>
          <w:sz w:val="28"/>
        </w:rPr>
        <w:t>
      Ерекше білім беруге қажеттілігі бар білім алушы үшін Еz 2-ге көбейтіледі;</w:t>
      </w:r>
    </w:p>
    <w:p>
      <w:pPr>
        <w:spacing w:after="0"/>
        <w:ind w:left="0"/>
        <w:jc w:val="both"/>
      </w:pPr>
      <w:r>
        <w:rPr>
          <w:rFonts w:ascii="Times New Roman"/>
          <w:b w:val="false"/>
          <w:i w:val="false"/>
          <w:color w:val="000000"/>
          <w:sz w:val="28"/>
        </w:rPr>
        <w:t>
      L – бір жылда бір оқушыға шаққандағы білім беру ортасы шығыстарының нормасы;</w:t>
      </w:r>
    </w:p>
    <w:p>
      <w:pPr>
        <w:spacing w:after="0"/>
        <w:ind w:left="0"/>
        <w:jc w:val="both"/>
      </w:pPr>
      <w:r>
        <w:rPr>
          <w:rFonts w:ascii="Times New Roman"/>
          <w:b w:val="false"/>
          <w:i w:val="false"/>
          <w:color w:val="000000"/>
          <w:sz w:val="28"/>
        </w:rPr>
        <w:t>
      k1 – нақты орташа жылдық контингент бойынша мектептердің толықтырылу коэффициенті:</w:t>
      </w:r>
    </w:p>
    <w:p>
      <w:pPr>
        <w:spacing w:after="0"/>
        <w:ind w:left="0"/>
        <w:jc w:val="both"/>
      </w:pPr>
      <w:r>
        <w:rPr>
          <w:rFonts w:ascii="Times New Roman"/>
          <w:b w:val="false"/>
          <w:i w:val="false"/>
          <w:color w:val="000000"/>
          <w:sz w:val="28"/>
        </w:rPr>
        <w:t>
      400 оқушыға дейін – 1;</w:t>
      </w:r>
    </w:p>
    <w:p>
      <w:pPr>
        <w:spacing w:after="0"/>
        <w:ind w:left="0"/>
        <w:jc w:val="both"/>
      </w:pPr>
      <w:r>
        <w:rPr>
          <w:rFonts w:ascii="Times New Roman"/>
          <w:b w:val="false"/>
          <w:i w:val="false"/>
          <w:color w:val="000000"/>
          <w:sz w:val="28"/>
        </w:rPr>
        <w:t>
      401-ден 500 оқушыға дейін – 0,85;</w:t>
      </w:r>
    </w:p>
    <w:p>
      <w:pPr>
        <w:spacing w:after="0"/>
        <w:ind w:left="0"/>
        <w:jc w:val="both"/>
      </w:pPr>
      <w:r>
        <w:rPr>
          <w:rFonts w:ascii="Times New Roman"/>
          <w:b w:val="false"/>
          <w:i w:val="false"/>
          <w:color w:val="000000"/>
          <w:sz w:val="28"/>
        </w:rPr>
        <w:t>
      501-ден 800 оқушыға дейін – 0,75;</w:t>
      </w:r>
    </w:p>
    <w:p>
      <w:pPr>
        <w:spacing w:after="0"/>
        <w:ind w:left="0"/>
        <w:jc w:val="both"/>
      </w:pPr>
      <w:r>
        <w:rPr>
          <w:rFonts w:ascii="Times New Roman"/>
          <w:b w:val="false"/>
          <w:i w:val="false"/>
          <w:color w:val="000000"/>
          <w:sz w:val="28"/>
        </w:rPr>
        <w:t>
      801-ден 1000 оқушыға дейін – 0,65;</w:t>
      </w:r>
    </w:p>
    <w:p>
      <w:pPr>
        <w:spacing w:after="0"/>
        <w:ind w:left="0"/>
        <w:jc w:val="both"/>
      </w:pPr>
      <w:r>
        <w:rPr>
          <w:rFonts w:ascii="Times New Roman"/>
          <w:b w:val="false"/>
          <w:i w:val="false"/>
          <w:color w:val="000000"/>
          <w:sz w:val="28"/>
        </w:rPr>
        <w:t>
      1001-ден 1200 оқушыға дейін – 0,6;</w:t>
      </w:r>
    </w:p>
    <w:p>
      <w:pPr>
        <w:spacing w:after="0"/>
        <w:ind w:left="0"/>
        <w:jc w:val="both"/>
      </w:pPr>
      <w:r>
        <w:rPr>
          <w:rFonts w:ascii="Times New Roman"/>
          <w:b w:val="false"/>
          <w:i w:val="false"/>
          <w:color w:val="000000"/>
          <w:sz w:val="28"/>
        </w:rPr>
        <w:t>
      1201-ден 1400 оқушыға дейін – 0,58;</w:t>
      </w:r>
    </w:p>
    <w:p>
      <w:pPr>
        <w:spacing w:after="0"/>
        <w:ind w:left="0"/>
        <w:jc w:val="both"/>
      </w:pPr>
      <w:r>
        <w:rPr>
          <w:rFonts w:ascii="Times New Roman"/>
          <w:b w:val="false"/>
          <w:i w:val="false"/>
          <w:color w:val="000000"/>
          <w:sz w:val="28"/>
        </w:rPr>
        <w:t>
      1401-ден 1600 оқушыға дейін – 0,56;</w:t>
      </w:r>
    </w:p>
    <w:p>
      <w:pPr>
        <w:spacing w:after="0"/>
        <w:ind w:left="0"/>
        <w:jc w:val="both"/>
      </w:pPr>
      <w:r>
        <w:rPr>
          <w:rFonts w:ascii="Times New Roman"/>
          <w:b w:val="false"/>
          <w:i w:val="false"/>
          <w:color w:val="000000"/>
          <w:sz w:val="28"/>
        </w:rPr>
        <w:t>
      1601-ден 2000 оқушыға дейін – 0,52;</w:t>
      </w:r>
    </w:p>
    <w:p>
      <w:pPr>
        <w:spacing w:after="0"/>
        <w:ind w:left="0"/>
        <w:jc w:val="both"/>
      </w:pPr>
      <w:r>
        <w:rPr>
          <w:rFonts w:ascii="Times New Roman"/>
          <w:b w:val="false"/>
          <w:i w:val="false"/>
          <w:color w:val="000000"/>
          <w:sz w:val="28"/>
        </w:rPr>
        <w:t>
      2001-ден 2500 оқушыға дейін – 0,49;</w:t>
      </w:r>
    </w:p>
    <w:p>
      <w:pPr>
        <w:spacing w:after="0"/>
        <w:ind w:left="0"/>
        <w:jc w:val="both"/>
      </w:pPr>
      <w:r>
        <w:rPr>
          <w:rFonts w:ascii="Times New Roman"/>
          <w:b w:val="false"/>
          <w:i w:val="false"/>
          <w:color w:val="000000"/>
          <w:sz w:val="28"/>
        </w:rPr>
        <w:t>
      2501-ден 3000 оқушыға дейін – 0,45;</w:t>
      </w:r>
    </w:p>
    <w:p>
      <w:pPr>
        <w:spacing w:after="0"/>
        <w:ind w:left="0"/>
        <w:jc w:val="both"/>
      </w:pPr>
      <w:r>
        <w:rPr>
          <w:rFonts w:ascii="Times New Roman"/>
          <w:b w:val="false"/>
          <w:i w:val="false"/>
          <w:color w:val="000000"/>
          <w:sz w:val="28"/>
        </w:rPr>
        <w:t>
      3001-ден 4000 оқушыға дейін – 0,40;</w:t>
      </w:r>
    </w:p>
    <w:p>
      <w:pPr>
        <w:spacing w:after="0"/>
        <w:ind w:left="0"/>
        <w:jc w:val="both"/>
      </w:pPr>
      <w:r>
        <w:rPr>
          <w:rFonts w:ascii="Times New Roman"/>
          <w:b w:val="false"/>
          <w:i w:val="false"/>
          <w:color w:val="000000"/>
          <w:sz w:val="28"/>
        </w:rPr>
        <w:t>
      4001-ден бастап одан көп оқушы – 0,38;</w:t>
      </w:r>
    </w:p>
    <w:p>
      <w:pPr>
        <w:spacing w:after="0"/>
        <w:ind w:left="0"/>
        <w:jc w:val="both"/>
      </w:pPr>
      <w:r>
        <w:rPr>
          <w:rFonts w:ascii="Times New Roman"/>
          <w:b w:val="false"/>
          <w:i w:val="false"/>
          <w:color w:val="000000"/>
          <w:sz w:val="28"/>
        </w:rPr>
        <w:t>
      k2 – мектептің жобалық қуаттылығынан асатын нақты орташа жылдық контингент бойынша мектептердің толықтырылу коэффициенті:</w:t>
      </w:r>
    </w:p>
    <w:p>
      <w:pPr>
        <w:spacing w:after="0"/>
        <w:ind w:left="0"/>
        <w:jc w:val="both"/>
      </w:pPr>
      <w:r>
        <w:rPr>
          <w:rFonts w:ascii="Times New Roman"/>
          <w:b w:val="false"/>
          <w:i w:val="false"/>
          <w:color w:val="000000"/>
          <w:sz w:val="28"/>
        </w:rPr>
        <w:t>
      150 %-ға дейін – 0,3;</w:t>
      </w:r>
    </w:p>
    <w:p>
      <w:pPr>
        <w:spacing w:after="0"/>
        <w:ind w:left="0"/>
        <w:jc w:val="both"/>
      </w:pPr>
      <w:r>
        <w:rPr>
          <w:rFonts w:ascii="Times New Roman"/>
          <w:b w:val="false"/>
          <w:i w:val="false"/>
          <w:color w:val="000000"/>
          <w:sz w:val="28"/>
        </w:rPr>
        <w:t>
      151-ден 170 %-ға дейін – 0,29;</w:t>
      </w:r>
    </w:p>
    <w:p>
      <w:pPr>
        <w:spacing w:after="0"/>
        <w:ind w:left="0"/>
        <w:jc w:val="both"/>
      </w:pPr>
      <w:r>
        <w:rPr>
          <w:rFonts w:ascii="Times New Roman"/>
          <w:b w:val="false"/>
          <w:i w:val="false"/>
          <w:color w:val="000000"/>
          <w:sz w:val="28"/>
        </w:rPr>
        <w:t>
      171-ден 190 % -ға дейін – 0,28;</w:t>
      </w:r>
    </w:p>
    <w:p>
      <w:pPr>
        <w:spacing w:after="0"/>
        <w:ind w:left="0"/>
        <w:jc w:val="both"/>
      </w:pPr>
      <w:r>
        <w:rPr>
          <w:rFonts w:ascii="Times New Roman"/>
          <w:b w:val="false"/>
          <w:i w:val="false"/>
          <w:color w:val="000000"/>
          <w:sz w:val="28"/>
        </w:rPr>
        <w:t>
      191-ден 210 % -ға дейін – 0,27;</w:t>
      </w:r>
    </w:p>
    <w:p>
      <w:pPr>
        <w:spacing w:after="0"/>
        <w:ind w:left="0"/>
        <w:jc w:val="both"/>
      </w:pPr>
      <w:r>
        <w:rPr>
          <w:rFonts w:ascii="Times New Roman"/>
          <w:b w:val="false"/>
          <w:i w:val="false"/>
          <w:color w:val="000000"/>
          <w:sz w:val="28"/>
        </w:rPr>
        <w:t>
      211-ден 230 %-ға дейін – 0,26;</w:t>
      </w:r>
    </w:p>
    <w:p>
      <w:pPr>
        <w:spacing w:after="0"/>
        <w:ind w:left="0"/>
        <w:jc w:val="both"/>
      </w:pPr>
      <w:r>
        <w:rPr>
          <w:rFonts w:ascii="Times New Roman"/>
          <w:b w:val="false"/>
          <w:i w:val="false"/>
          <w:color w:val="000000"/>
          <w:sz w:val="28"/>
        </w:rPr>
        <w:t>
      231-ден 250 %-ға дейін – 0,25;</w:t>
      </w:r>
    </w:p>
    <w:p>
      <w:pPr>
        <w:spacing w:after="0"/>
        <w:ind w:left="0"/>
        <w:jc w:val="both"/>
      </w:pPr>
      <w:r>
        <w:rPr>
          <w:rFonts w:ascii="Times New Roman"/>
          <w:b w:val="false"/>
          <w:i w:val="false"/>
          <w:color w:val="000000"/>
          <w:sz w:val="28"/>
        </w:rPr>
        <w:t>
      251-ден 270 %-ға дейін – 0,24;</w:t>
      </w:r>
    </w:p>
    <w:p>
      <w:pPr>
        <w:spacing w:after="0"/>
        <w:ind w:left="0"/>
        <w:jc w:val="both"/>
      </w:pPr>
      <w:r>
        <w:rPr>
          <w:rFonts w:ascii="Times New Roman"/>
          <w:b w:val="false"/>
          <w:i w:val="false"/>
          <w:color w:val="000000"/>
          <w:sz w:val="28"/>
        </w:rPr>
        <w:t>
      271-ден 290 %-ға дейін – 0,23;</w:t>
      </w:r>
    </w:p>
    <w:p>
      <w:pPr>
        <w:spacing w:after="0"/>
        <w:ind w:left="0"/>
        <w:jc w:val="both"/>
      </w:pPr>
      <w:r>
        <w:rPr>
          <w:rFonts w:ascii="Times New Roman"/>
          <w:b w:val="false"/>
          <w:i w:val="false"/>
          <w:color w:val="000000"/>
          <w:sz w:val="28"/>
        </w:rPr>
        <w:t>
      291-ден 310 %-ға дейін – 0,22;</w:t>
      </w:r>
    </w:p>
    <w:p>
      <w:pPr>
        <w:spacing w:after="0"/>
        <w:ind w:left="0"/>
        <w:jc w:val="both"/>
      </w:pPr>
      <w:r>
        <w:rPr>
          <w:rFonts w:ascii="Times New Roman"/>
          <w:b w:val="false"/>
          <w:i w:val="false"/>
          <w:color w:val="000000"/>
          <w:sz w:val="28"/>
        </w:rPr>
        <w:t>
      311% және одан көп – 0,21.</w:t>
      </w:r>
    </w:p>
    <w:p>
      <w:pPr>
        <w:spacing w:after="0"/>
        <w:ind w:left="0"/>
        <w:jc w:val="both"/>
      </w:pPr>
      <w:r>
        <w:rPr>
          <w:rFonts w:ascii="Times New Roman"/>
          <w:b w:val="false"/>
          <w:i w:val="false"/>
          <w:color w:val="000000"/>
          <w:sz w:val="28"/>
        </w:rPr>
        <w:t>
      k1 және k2 түзету коэффициенттері жекеменшік білім беру ұйымдарының сенімгерлік басқаруындағы мемлекеттік орта білім беру ұйымдарының объектілерін қоспағанда, мемлекеттік орта білім беру мекемелеріндегі ерекше білім беруге қажеттіліктері бар білім алушылардан құралған сыныптар үшін, сондай-ақ жекеменшік орта білім беру ұйымдары үшін қолданылмайды;</w:t>
      </w:r>
    </w:p>
    <w:p>
      <w:pPr>
        <w:spacing w:after="0"/>
        <w:ind w:left="0"/>
        <w:jc w:val="both"/>
      </w:pPr>
      <w:r>
        <w:rPr>
          <w:rFonts w:ascii="Times New Roman"/>
          <w:b w:val="false"/>
          <w:i w:val="false"/>
          <w:color w:val="000000"/>
          <w:sz w:val="28"/>
        </w:rPr>
        <w:t>
      А1 – бір оқушыға шаққандағы ғимараттың және құрылыстың амортизациясына, жабдықтардың амортизациясына/сатып алынуына арналған шығыстардың нормасы:</w:t>
      </w:r>
    </w:p>
    <w:p>
      <w:pPr>
        <w:spacing w:after="0"/>
        <w:ind w:left="0"/>
        <w:jc w:val="both"/>
      </w:pPr>
      <w:r>
        <w:rPr>
          <w:rFonts w:ascii="Times New Roman"/>
          <w:b w:val="false"/>
          <w:i w:val="false"/>
          <w:color w:val="000000"/>
          <w:sz w:val="28"/>
        </w:rPr>
        <w:t>
      жылына 6 АЕК – меншік нысанына қарамастан барлық жұмыс жасап тұрған мектептерде оқитындар үшін;</w:t>
      </w:r>
    </w:p>
    <w:p>
      <w:pPr>
        <w:spacing w:after="0"/>
        <w:ind w:left="0"/>
        <w:jc w:val="both"/>
      </w:pPr>
      <w:r>
        <w:rPr>
          <w:rFonts w:ascii="Times New Roman"/>
          <w:b w:val="false"/>
          <w:i w:val="false"/>
          <w:color w:val="000000"/>
          <w:sz w:val="28"/>
        </w:rPr>
        <w:t>
      12 АЕК – жекеменшік орта білім беру ұйымы жанындағы интернатта, жекеменшік мектеп-интернатта тұратын білім алушылар үшін;</w:t>
      </w:r>
    </w:p>
    <w:p>
      <w:pPr>
        <w:spacing w:after="0"/>
        <w:ind w:left="0"/>
        <w:jc w:val="both"/>
      </w:pPr>
      <w:r>
        <w:rPr>
          <w:rFonts w:ascii="Times New Roman"/>
          <w:b w:val="false"/>
          <w:i w:val="false"/>
          <w:color w:val="000000"/>
          <w:sz w:val="28"/>
        </w:rPr>
        <w:t>
      А2 – орта білім беру ұйымдарының объектілерінде, оның ішінде:</w:t>
      </w:r>
    </w:p>
    <w:p>
      <w:pPr>
        <w:spacing w:after="0"/>
        <w:ind w:left="0"/>
        <w:jc w:val="both"/>
      </w:pPr>
      <w:r>
        <w:rPr>
          <w:rFonts w:ascii="Times New Roman"/>
          <w:b w:val="false"/>
          <w:i w:val="false"/>
          <w:color w:val="000000"/>
          <w:sz w:val="28"/>
        </w:rPr>
        <w:t>
      орта білім беру ұйымының жеке меншігіндегі;</w:t>
      </w:r>
    </w:p>
    <w:p>
      <w:pPr>
        <w:spacing w:after="0"/>
        <w:ind w:left="0"/>
        <w:jc w:val="both"/>
      </w:pPr>
      <w:r>
        <w:rPr>
          <w:rFonts w:ascii="Times New Roman"/>
          <w:b w:val="false"/>
          <w:i w:val="false"/>
          <w:color w:val="000000"/>
          <w:sz w:val="28"/>
        </w:rPr>
        <w:t>
      мемлекеттік-жекешелік әріптестік шартының талаптарымен мемлекеттік меншікке берілген объектілерінде білім алушы нақты орналасқан әрбір жаңадан енгізілген оқушы орны үшін (бірақ олардың жобалық қуатынан жоғары емес) ғимараттардың амортизациясына арналған шығыстардың нормасы.</w:t>
      </w:r>
    </w:p>
    <w:p>
      <w:pPr>
        <w:spacing w:after="0"/>
        <w:ind w:left="0"/>
        <w:jc w:val="both"/>
      </w:pPr>
      <w:r>
        <w:rPr>
          <w:rFonts w:ascii="Times New Roman"/>
          <w:b w:val="false"/>
          <w:i w:val="false"/>
          <w:color w:val="000000"/>
          <w:sz w:val="28"/>
        </w:rPr>
        <w:t>
      Орта білім беру ұйымдарының мынадай объектілеріндегі орындар жаңадан енгізілетін оқушы орындары болып табылады:</w:t>
      </w:r>
    </w:p>
    <w:p>
      <w:pPr>
        <w:spacing w:after="0"/>
        <w:ind w:left="0"/>
        <w:jc w:val="both"/>
      </w:pPr>
      <w:r>
        <w:rPr>
          <w:rFonts w:ascii="Times New Roman"/>
          <w:b w:val="false"/>
          <w:i w:val="false"/>
          <w:color w:val="000000"/>
          <w:sz w:val="28"/>
        </w:rPr>
        <w:t>
      2018 жылғы 20 шілдеден кейін құрылыс салу немесе реконструкция жасау жолымен пайдалануға берілген орта білім беру ұйымдарының жеке меншігіндегі, сол сияқты осы орта білім беру ұйымдары құрылтайшыларының немесе олардың жақын туыстарының жеке меншігіндегі;</w:t>
      </w:r>
    </w:p>
    <w:p>
      <w:pPr>
        <w:spacing w:after="0"/>
        <w:ind w:left="0"/>
        <w:jc w:val="both"/>
      </w:pPr>
      <w:r>
        <w:rPr>
          <w:rFonts w:ascii="Times New Roman"/>
          <w:b w:val="false"/>
          <w:i w:val="false"/>
          <w:color w:val="000000"/>
          <w:sz w:val="28"/>
        </w:rPr>
        <w:t>
      мемлекеттік-жекешелік әріптестік шартының талаптарымен мемлекеттік меншікке берілген.</w:t>
      </w:r>
    </w:p>
    <w:p>
      <w:pPr>
        <w:spacing w:after="0"/>
        <w:ind w:left="0"/>
        <w:jc w:val="both"/>
      </w:pPr>
      <w:r>
        <w:rPr>
          <w:rFonts w:ascii="Times New Roman"/>
          <w:b w:val="false"/>
          <w:i w:val="false"/>
          <w:color w:val="000000"/>
          <w:sz w:val="28"/>
        </w:rPr>
        <w:t>
      А2 мынадай білім беру ұйымдарына 8 (сегіз) жыл ішінде төленеді:</w:t>
      </w:r>
    </w:p>
    <w:p>
      <w:pPr>
        <w:spacing w:after="0"/>
        <w:ind w:left="0"/>
        <w:jc w:val="both"/>
      </w:pPr>
      <w:r>
        <w:rPr>
          <w:rFonts w:ascii="Times New Roman"/>
          <w:b w:val="false"/>
          <w:i w:val="false"/>
          <w:color w:val="000000"/>
          <w:sz w:val="28"/>
        </w:rPr>
        <w:t>
      А2-ні алуға үміткерлерге – жиырма жыл мерзімге орта білім беру ұйымы объектісінің нысаналы мақсатын өзгертуге құқық ауыртпалығы салынғаннан кейін;</w:t>
      </w:r>
    </w:p>
    <w:p>
      <w:pPr>
        <w:spacing w:after="0"/>
        <w:ind w:left="0"/>
        <w:jc w:val="both"/>
      </w:pPr>
      <w:r>
        <w:rPr>
          <w:rFonts w:ascii="Times New Roman"/>
          <w:b w:val="false"/>
          <w:i w:val="false"/>
          <w:color w:val="000000"/>
          <w:sz w:val="28"/>
        </w:rPr>
        <w:t>
      2020 жылғы 14 ақпанға дейінгі кезеңде А2-ні алғандарға – 2020 жыл ішінде жиырма жыл мерзімге орта білім беру ұйымы объектісінің нысаналы мақсатын өзгертуге құқық ауыртпалығын салу жөніндегі міндеттемелер қабылданғаннан кейін төленеді. Бұл жағдайда А2-ні төлеу мерзімі көрсетілген міндеттемелер қабылданғанға дейін жүргізілген төлемдер мерзіміне мөлшерлес азайтылады;</w:t>
      </w:r>
    </w:p>
    <w:p>
      <w:pPr>
        <w:spacing w:after="0"/>
        <w:ind w:left="0"/>
        <w:jc w:val="both"/>
      </w:pPr>
      <w:r>
        <w:rPr>
          <w:rFonts w:ascii="Times New Roman"/>
          <w:b w:val="false"/>
          <w:i w:val="false"/>
          <w:color w:val="000000"/>
          <w:sz w:val="28"/>
        </w:rPr>
        <w:t>
      мемлекеттік-жекешелік әріптестік шартының талаптарымен орта білім беру объектілерін алғандарға төленеді. Бұл ретте осындай білім беру ұйымының құрылтайшысы А2 төлемдерінің сомасын шеңберінде орта білім беру ұйымының объектісі мемлекеттік-жекешелік әріптестік шартының талаптарымен мемлекеттік меншікке берілген мемлекеттік-жекешелік әріптестік жобасын қаржыландыруды жүзеге асыруға бағыттауды қамтамасыз етеді. Бір жылда бір білім алушыға есептегендегі жан басына шаққандағы қаржыландыру нормативінің (Nz) сомасы А2 төлемдерінің сомасы шегеріле отырып, білім беру процесі мен білім беру ортасының шығыстарын қаржыландыруға бағытталады.</w:t>
      </w:r>
    </w:p>
    <w:p>
      <w:pPr>
        <w:spacing w:after="0"/>
        <w:ind w:left="0"/>
        <w:jc w:val="both"/>
      </w:pPr>
      <w:r>
        <w:rPr>
          <w:rFonts w:ascii="Times New Roman"/>
          <w:b w:val="false"/>
          <w:i w:val="false"/>
          <w:color w:val="000000"/>
          <w:sz w:val="28"/>
        </w:rPr>
        <w:t>
      Жекеменшік орта білім беру ұйымы объектісінің меншік иесі ауысқан жағдайда А2-ні төлеу мерзімі жекеменшік орта білім беру ұйымы объектісінің бұрынғы меншік иесіне төленген мерзімге барабар қысқартылады.</w:t>
      </w:r>
    </w:p>
    <w:p>
      <w:pPr>
        <w:spacing w:after="0"/>
        <w:ind w:left="0"/>
        <w:jc w:val="both"/>
      </w:pPr>
      <w:r>
        <w:rPr>
          <w:rFonts w:ascii="Times New Roman"/>
          <w:b w:val="false"/>
          <w:i w:val="false"/>
          <w:color w:val="000000"/>
          <w:sz w:val="28"/>
        </w:rPr>
        <w:t>
      А2 мынаны құрайды:</w:t>
      </w:r>
    </w:p>
    <w:p>
      <w:pPr>
        <w:spacing w:after="0"/>
        <w:ind w:left="0"/>
        <w:jc w:val="both"/>
      </w:pPr>
      <w:r>
        <w:rPr>
          <w:rFonts w:ascii="Times New Roman"/>
          <w:b w:val="false"/>
          <w:i w:val="false"/>
          <w:color w:val="000000"/>
          <w:sz w:val="28"/>
        </w:rPr>
        <w:t>
      құрылыс салынған жағдайда – жылына 96 АЕК;</w:t>
      </w:r>
    </w:p>
    <w:p>
      <w:pPr>
        <w:spacing w:after="0"/>
        <w:ind w:left="0"/>
        <w:jc w:val="both"/>
      </w:pPr>
      <w:r>
        <w:rPr>
          <w:rFonts w:ascii="Times New Roman"/>
          <w:b w:val="false"/>
          <w:i w:val="false"/>
          <w:color w:val="000000"/>
          <w:sz w:val="28"/>
        </w:rPr>
        <w:t>
      реконструкция жасалған жағдайда – жылына 47 АЕК.</w:t>
      </w:r>
    </w:p>
    <w:p>
      <w:pPr>
        <w:spacing w:after="0"/>
        <w:ind w:left="0"/>
        <w:jc w:val="both"/>
      </w:pPr>
      <w:r>
        <w:rPr>
          <w:rFonts w:ascii="Times New Roman"/>
          <w:b w:val="false"/>
          <w:i w:val="false"/>
          <w:color w:val="000000"/>
          <w:sz w:val="28"/>
        </w:rPr>
        <w:t>
      Басқа жағдайларда, оның ішінде жаңадан енгізілген оқушы орындары үшін А2 төленетін жоғарыда көрсетілген мерзімдер өткенде А2 0-ге тең болады;</w:t>
      </w:r>
    </w:p>
    <w:p>
      <w:pPr>
        <w:spacing w:after="0"/>
        <w:ind w:left="0"/>
        <w:jc w:val="both"/>
      </w:pPr>
      <w:r>
        <w:rPr>
          <w:rFonts w:ascii="Times New Roman"/>
          <w:b w:val="false"/>
          <w:i w:val="false"/>
          <w:color w:val="000000"/>
          <w:sz w:val="28"/>
        </w:rPr>
        <w:t>
      А3 – орта білім беру ұйымының жеке меншігіндегі орта білім беру ұйымы объектілерінде жаңадан енгізілген, бірақ олардың жобалық қуатынан аспайтын, білім алушылар нақты орналасқан әрбір тұру орны үшін ғимараттың амортизациясына арналған шығыстар нормасы.</w:t>
      </w:r>
    </w:p>
    <w:p>
      <w:pPr>
        <w:spacing w:after="0"/>
        <w:ind w:left="0"/>
        <w:jc w:val="both"/>
      </w:pPr>
      <w:r>
        <w:rPr>
          <w:rFonts w:ascii="Times New Roman"/>
          <w:b w:val="false"/>
          <w:i w:val="false"/>
          <w:color w:val="000000"/>
          <w:sz w:val="28"/>
        </w:rPr>
        <w:t>
      Білім алушылар нақты орналасқан тұру орны 2020 жылғы 1 қаңтардан кейін құрылыс салу немесе реконструкция жасау жолымен пайдалануға енгізілген орта білім беру ұйымдарының жеке меншігіндегі, сол сияқты осы орта білім беру ұйымдары құрылтайшыларының немесе олардың жақын туыстарының жеке меншігіндегі орта білім беру ұйымдарының интернаттарындағы орындар болып табылады.</w:t>
      </w:r>
    </w:p>
    <w:p>
      <w:pPr>
        <w:spacing w:after="0"/>
        <w:ind w:left="0"/>
        <w:jc w:val="both"/>
      </w:pPr>
      <w:r>
        <w:rPr>
          <w:rFonts w:ascii="Times New Roman"/>
          <w:b w:val="false"/>
          <w:i w:val="false"/>
          <w:color w:val="000000"/>
          <w:sz w:val="28"/>
        </w:rPr>
        <w:t>
      А3 жиырма жылға дейін орта білім беру ұйымы интернатының нысаналы мақсатын өзгертуге құқық ауыртпалығы салынғаннан кейін 8 (сегіз) жыл ішінде төленеді. Бұл ретте жекеменшік орта білім беру ұйымы объектісінің меншік иесі ауысқан жағдайда А3-ті төлеу мерзімі жекеменшік орта білім беру ұйымы интернатының бұрынғы меншік иесіне төленген мерзімге барабар қысқартылады.</w:t>
      </w:r>
    </w:p>
    <w:p>
      <w:pPr>
        <w:spacing w:after="0"/>
        <w:ind w:left="0"/>
        <w:jc w:val="both"/>
      </w:pPr>
      <w:r>
        <w:rPr>
          <w:rFonts w:ascii="Times New Roman"/>
          <w:b w:val="false"/>
          <w:i w:val="false"/>
          <w:color w:val="000000"/>
          <w:sz w:val="28"/>
        </w:rPr>
        <w:t>
      А3 мынаны құрайды:</w:t>
      </w:r>
    </w:p>
    <w:p>
      <w:pPr>
        <w:spacing w:after="0"/>
        <w:ind w:left="0"/>
        <w:jc w:val="both"/>
      </w:pPr>
      <w:r>
        <w:rPr>
          <w:rFonts w:ascii="Times New Roman"/>
          <w:b w:val="false"/>
          <w:i w:val="false"/>
          <w:color w:val="000000"/>
          <w:sz w:val="28"/>
        </w:rPr>
        <w:t>
      құрылыс салынған жағдайда – жылына 122 АЕК;</w:t>
      </w:r>
    </w:p>
    <w:p>
      <w:pPr>
        <w:spacing w:after="0"/>
        <w:ind w:left="0"/>
        <w:jc w:val="both"/>
      </w:pPr>
      <w:r>
        <w:rPr>
          <w:rFonts w:ascii="Times New Roman"/>
          <w:b w:val="false"/>
          <w:i w:val="false"/>
          <w:color w:val="000000"/>
          <w:sz w:val="28"/>
        </w:rPr>
        <w:t>
      реконструкция жасалған жағдайда – жылына 47 АЕК.</w:t>
      </w:r>
    </w:p>
    <w:p>
      <w:pPr>
        <w:spacing w:after="0"/>
        <w:ind w:left="0"/>
        <w:jc w:val="both"/>
      </w:pPr>
      <w:r>
        <w:rPr>
          <w:rFonts w:ascii="Times New Roman"/>
          <w:b w:val="false"/>
          <w:i w:val="false"/>
          <w:color w:val="000000"/>
          <w:sz w:val="28"/>
        </w:rPr>
        <w:t>
      Басқа жағдайларда, оның ішінде жаңадан енгізілген білім алушылардың тұру орындарына А3 төленетін 8 (сегіз) жыл өткенде А3 0-ге тең болады;".</w:t>
      </w:r>
    </w:p>
    <w:bookmarkStart w:name="z4" w:id="0"/>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Start w:name="z5"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
    <w:bookmarkStart w:name="z6"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