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982d" w14:textId="dee98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өзгертулер енгізу туралы</w:t>
      </w:r>
    </w:p>
    <w:p>
      <w:pPr>
        <w:spacing w:after="0"/>
        <w:ind w:left="0"/>
        <w:jc w:val="both"/>
      </w:pPr>
      <w:r>
        <w:rPr>
          <w:rFonts w:ascii="Times New Roman"/>
          <w:b w:val="false"/>
          <w:i w:val="false"/>
          <w:color w:val="000000"/>
          <w:sz w:val="28"/>
        </w:rPr>
        <w:t>Қазақстан Республикасы Әділет министрінің м.а. 2022 жылғы 25 наурыздағы № 233 бұйрығы. Қазақстан Республикасының Әділет министрлігінде 2022 жылғы 1 сәуірде № 27368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тіркелген) мынадай өзгертулер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"76. Некені (ерлі-зайыптылықты) бұзу туралы өтініште ерлі-зайыптылар некені (ерлі-зайыптылықты) бұзуға өзідерінің өзара келісімін және кәмелетке толмаған балалардың жоқтығын растайды. Деректер сондай-ақ некені (ерлі-зайыптылықты) бұзу туралы акт жазбасындағы ерлі-зайыптылардың қолдарымен расталады.</w:t>
      </w:r>
    </w:p>
    <w:bookmarkEnd w:id="3"/>
    <w:p>
      <w:pPr>
        <w:spacing w:after="0"/>
        <w:ind w:left="0"/>
        <w:jc w:val="both"/>
      </w:pPr>
      <w:r>
        <w:rPr>
          <w:rFonts w:ascii="Times New Roman"/>
          <w:b w:val="false"/>
          <w:i w:val="false"/>
          <w:color w:val="000000"/>
          <w:sz w:val="28"/>
        </w:rPr>
        <w:t>
      Некені (ерлі-зайыптылықты) бұзуды мемлекеттік тіркеуді тіркеуші орган некені (ерлі-зайыптылықты) бұзу туралы бірлескен өтініш берілген күннен бастап бір ай мерзім өткеннен кейін некені (ерлі-зайыптылықты) бұзушылардың өздері қатысқан кезде жүргізеді.</w:t>
      </w:r>
    </w:p>
    <w:p>
      <w:pPr>
        <w:spacing w:after="0"/>
        <w:ind w:left="0"/>
        <w:jc w:val="both"/>
      </w:pPr>
      <w:r>
        <w:rPr>
          <w:rFonts w:ascii="Times New Roman"/>
          <w:b w:val="false"/>
          <w:i w:val="false"/>
          <w:color w:val="000000"/>
          <w:sz w:val="28"/>
        </w:rPr>
        <w:t>
      Мерзімнің өтуі өтініш берілгеннен кейінгі келесі күннен басталады және келесі айдың тиісті күнінде бітеді. Егер бұл күн жұмыс күніне тура келмесе, онда одан кейінгі жұмыс күнi мерзiмнiң аяқталған күнi болып есептеледі. Айлық мерзімнің қысқартылуы мүмкін емес.</w:t>
      </w:r>
    </w:p>
    <w:p>
      <w:pPr>
        <w:spacing w:after="0"/>
        <w:ind w:left="0"/>
        <w:jc w:val="both"/>
      </w:pPr>
      <w:r>
        <w:rPr>
          <w:rFonts w:ascii="Times New Roman"/>
          <w:b w:val="false"/>
          <w:i w:val="false"/>
          <w:color w:val="000000"/>
          <w:sz w:val="28"/>
        </w:rPr>
        <w:t>
      Некені (ерлі-зайыптылықты) бұзғысы келетін ерлі-зайыптылар некені (ерлі-зайыптылықты) бұзуды тіркеу үшін белгіленген күні жеке басын куәландыратын құжатпен немесе цифрлық құжаттар сервисінен электрондық құжатпен тіркеуші органға келуі қажет. Жүргізілген тексеру нәтижелері бойынша лауазымды тұлға деректерді АХАЖ АЖ-не өтініш берілген күннен бастап 1 (бір) ай өткеннен кейін ерлі-зайыптылардың екеуінің қатысуымен енгізеді.</w:t>
      </w:r>
    </w:p>
    <w:p>
      <w:pPr>
        <w:spacing w:after="0"/>
        <w:ind w:left="0"/>
        <w:jc w:val="both"/>
      </w:pPr>
      <w:r>
        <w:rPr>
          <w:rFonts w:ascii="Times New Roman"/>
          <w:b w:val="false"/>
          <w:i w:val="false"/>
          <w:color w:val="000000"/>
          <w:sz w:val="28"/>
        </w:rPr>
        <w:t>
      Егер ерлі-зайыптылар некені (ерлі-зайыптылықты) бұзуды мемлекеттік тіркеу үшін өздеріне белгіленген күні тіркеуші органға келе алмаса, олар тіркеуші органға некені (ерлі-зайыптылықты) бұзу туралы өтінішпен қайтадан жүгіне алады, ол некені (ерлі-зайыптылықты) бұзуды мемлекеттік тіркеу үшін қайтадан айлық мерзімді тағайындайды.</w:t>
      </w:r>
    </w:p>
    <w:p>
      <w:pPr>
        <w:spacing w:after="0"/>
        <w:ind w:left="0"/>
        <w:jc w:val="both"/>
      </w:pPr>
      <w:r>
        <w:rPr>
          <w:rFonts w:ascii="Times New Roman"/>
          <w:b w:val="false"/>
          <w:i w:val="false"/>
          <w:color w:val="000000"/>
          <w:sz w:val="28"/>
        </w:rPr>
        <w:t>
      Егер ерлі-зайыптылардың бірі некені (ерлі-зайыптылықты) бұзу туралы арызды сол тіркеуші органға қайта бергеннен кейін некені (ерлі-зайыптылықты) бұзуды мемлекеттік тіркеу үшін тіркеуші органға келе алмаса, некені (ерлі-зайыптылықты) бұзу ол болмаған кезде оның некені (ерлі-зайыптылықты) бұзуға нотариат куәландырған келісімі болған жағдайда жүргізіледі.";</w:t>
      </w:r>
    </w:p>
    <w:bookmarkStart w:name="z6" w:id="4"/>
    <w:p>
      <w:pPr>
        <w:spacing w:after="0"/>
        <w:ind w:left="0"/>
        <w:jc w:val="both"/>
      </w:pPr>
      <w:r>
        <w:rPr>
          <w:rFonts w:ascii="Times New Roman"/>
          <w:b w:val="false"/>
          <w:i w:val="false"/>
          <w:color w:val="000000"/>
          <w:sz w:val="28"/>
        </w:rPr>
        <w:t xml:space="preserve">
      "Некені (ерлі-зайыптылықты) бұзу,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реттік нөмірі 8-жол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некені (ерлі-зайыптылықты) бұзу негізіне байланысты Қағидаларға </w:t>
            </w:r>
            <w:r>
              <w:rPr>
                <w:rFonts w:ascii="Times New Roman"/>
                <w:b w:val="false"/>
                <w:i w:val="false"/>
                <w:color w:val="000000"/>
                <w:sz w:val="20"/>
              </w:rPr>
              <w:t>18</w:t>
            </w:r>
            <w:r>
              <w:rPr>
                <w:rFonts w:ascii="Times New Roman"/>
                <w:b w:val="false"/>
                <w:i w:val="false"/>
                <w:color w:val="000000"/>
                <w:sz w:val="20"/>
              </w:rPr>
              <w:t xml:space="preserve"> немесе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некені (ерлі-зайыптылықты) мемлекеттік бұзу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неке қию (ерлі-зайыпты болу) туралы куәлік);</w:t>
            </w:r>
          </w:p>
          <w:p>
            <w:pPr>
              <w:spacing w:after="20"/>
              <w:ind w:left="20"/>
              <w:jc w:val="both"/>
            </w:pPr>
            <w:r>
              <w:rPr>
                <w:rFonts w:ascii="Times New Roman"/>
                <w:b w:val="false"/>
                <w:i w:val="false"/>
                <w:color w:val="000000"/>
                <w:sz w:val="20"/>
              </w:rPr>
              <w:t>
4) мемлекеттік баждың бюджетке төленгенін растайтын құжат;</w:t>
            </w:r>
          </w:p>
          <w:p>
            <w:pPr>
              <w:spacing w:after="20"/>
              <w:ind w:left="20"/>
              <w:jc w:val="both"/>
            </w:pPr>
            <w:r>
              <w:rPr>
                <w:rFonts w:ascii="Times New Roman"/>
                <w:b w:val="false"/>
                <w:i w:val="false"/>
                <w:color w:val="000000"/>
                <w:sz w:val="20"/>
              </w:rPr>
              <w:t>
5) жұбайын хабар-ошарсыз кетті деп не әрекетке қабілетсіз деп тану туралы заңды күшіне енген сот шешімі туралы немесе жұбайы (зайыбы) қылмыс жасағаны үшін кемінде үш жыл мерзімге бас бостандығынан айыруға сотталуы туралы сот үкімі туралы мәліметтер;</w:t>
            </w:r>
          </w:p>
          <w:p>
            <w:pPr>
              <w:spacing w:after="20"/>
              <w:ind w:left="20"/>
              <w:jc w:val="both"/>
            </w:pPr>
            <w:r>
              <w:rPr>
                <w:rFonts w:ascii="Times New Roman"/>
                <w:b w:val="false"/>
                <w:i w:val="false"/>
                <w:color w:val="000000"/>
                <w:sz w:val="20"/>
              </w:rPr>
              <w:t>
6)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Некені (ерлі-зайыптылықты) бұзу туралы акт жазбасына өзгерістер, толықтырулар мен түзетулер енгізу үшін қажетті құжаттардың тізбесі):</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24-қосымшаға</w:t>
            </w:r>
            <w:r>
              <w:rPr>
                <w:rFonts w:ascii="Times New Roman"/>
                <w:b w:val="false"/>
                <w:i w:val="false"/>
                <w:color w:val="000000"/>
                <w:sz w:val="20"/>
              </w:rPr>
              <w:t xml:space="preserve"> сәйкес нысан бойынша өзгерістер, толықтырулар мен түзетулер енгізу туралы өтініш;</w:t>
            </w:r>
          </w:p>
          <w:p>
            <w:pPr>
              <w:spacing w:after="20"/>
              <w:ind w:left="20"/>
              <w:jc w:val="both"/>
            </w:pPr>
            <w:r>
              <w:rPr>
                <w:rFonts w:ascii="Times New Roman"/>
                <w:b w:val="false"/>
                <w:i w:val="false"/>
                <w:color w:val="000000"/>
                <w:sz w:val="20"/>
              </w:rPr>
              <w:t>
2) жеке басты куәландыратын құжат немесе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азаматтық хал актілері жазбасына өзгерістер, толықтырулар мен түзетулер енгізуге байланысты айырбасталуға жататын азаматтық хал актілерін мемлекеттік тіркеу туралы куәліктің түпнұсқасы, куәліктің түпнұсқасы жоғалған жағдайда оның жоғалғаны туралы және азаматтық хал актілерін тіркеу туралы мәліметтерді көрсету;</w:t>
            </w:r>
          </w:p>
          <w:p>
            <w:pPr>
              <w:spacing w:after="20"/>
              <w:ind w:left="20"/>
              <w:jc w:val="both"/>
            </w:pPr>
            <w:r>
              <w:rPr>
                <w:rFonts w:ascii="Times New Roman"/>
                <w:b w:val="false"/>
                <w:i w:val="false"/>
                <w:color w:val="000000"/>
                <w:sz w:val="20"/>
              </w:rPr>
              <w:t>
4) азаматтық хал актісі жазбасына өзгерістер, толықтырулар мен түзетулер енгізу үшін негіз болуын растайтын құжат;</w:t>
            </w:r>
          </w:p>
          <w:p>
            <w:pPr>
              <w:spacing w:after="20"/>
              <w:ind w:left="20"/>
              <w:jc w:val="both"/>
            </w:pPr>
            <w:r>
              <w:rPr>
                <w:rFonts w:ascii="Times New Roman"/>
                <w:b w:val="false"/>
                <w:i w:val="false"/>
                <w:color w:val="000000"/>
                <w:sz w:val="20"/>
              </w:rPr>
              <w:t>
5) көрсетілетін қызметті алушының өкілі жүгінген жағдайда нотариалды куәландырылған сенімхат.</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Кәмелетке толмаған балалары жоқ ерлі-зайыптылардың өзара келісімі бойынша некені (ерлі-зайыптылықты) бұзуды тіркеу үшін порталға жүгінген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немесе ұялы байланыс операторы ұсынған көрсетілетін қызметті алушының абоненттік нөмірін тіркеген және порталдың есептік жазбасына қосқан жағдайда бір реттік парольмен куәландырылған электрондық өтініш;</w:t>
            </w:r>
          </w:p>
          <w:p>
            <w:pPr>
              <w:spacing w:after="20"/>
              <w:ind w:left="20"/>
              <w:jc w:val="both"/>
            </w:pPr>
            <w:r>
              <w:rPr>
                <w:rFonts w:ascii="Times New Roman"/>
                <w:b w:val="false"/>
                <w:i w:val="false"/>
                <w:color w:val="000000"/>
                <w:sz w:val="20"/>
              </w:rPr>
              <w:t>
2) азаматтық хал актілерін тіркеу туралы мәліметтер.</w:t>
            </w:r>
          </w:p>
          <w:p>
            <w:pPr>
              <w:spacing w:after="20"/>
              <w:ind w:left="20"/>
              <w:jc w:val="both"/>
            </w:pPr>
            <w:r>
              <w:rPr>
                <w:rFonts w:ascii="Times New Roman"/>
                <w:b w:val="false"/>
                <w:i w:val="false"/>
                <w:color w:val="000000"/>
                <w:sz w:val="20"/>
              </w:rPr>
              <w:t xml:space="preserve">
Егер ерлі-зайыптылардың өзара келісімі бойынша некені (ерлі-зайыптылықты) бұзуды мемлекеттік тіркеу үшін арызды сол тіркеуші органға қайта бергеннен кейін, ерлі-зайыптылардың бірі некені (ерлі-зайыптылықты) бұзуды мемлекеттік тіркеу үшін тіркеуші органға келе алмаса, некені (ерлі-зайыптылықты) бұзуға ол болмағанда оның нотариатта куәландырылған келісімі қоса жалғанады. </w:t>
            </w:r>
          </w:p>
        </w:tc>
      </w:tr>
    </w:tbl>
    <w:bookmarkStart w:name="z8" w:id="6"/>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